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AA" w:rsidRPr="000D54AA" w:rsidRDefault="000D54AA" w:rsidP="000D54AA">
      <w:pPr>
        <w:spacing w:before="100" w:beforeAutospacing="1" w:after="100" w:afterAutospacing="1" w:line="240" w:lineRule="auto"/>
        <w:outlineLvl w:val="3"/>
        <w:rPr>
          <w:rFonts w:ascii="Times New Roman" w:eastAsia="Times New Roman" w:hAnsi="Times New Roman"/>
          <w:b/>
          <w:sz w:val="24"/>
          <w:szCs w:val="24"/>
        </w:rPr>
      </w:pPr>
      <w:r w:rsidRPr="000D54AA">
        <w:rPr>
          <w:rFonts w:ascii="Times New Roman" w:eastAsia="Times New Roman" w:hAnsi="Times New Roman"/>
          <w:b/>
          <w:sz w:val="24"/>
          <w:szCs w:val="24"/>
        </w:rPr>
        <w:t>JUNTA DEMOCRÁTICA</w:t>
      </w:r>
    </w:p>
    <w:p w:rsidR="000D54AA" w:rsidRPr="000D54AA" w:rsidRDefault="000D54AA" w:rsidP="000D54AA">
      <w:pPr>
        <w:spacing w:before="100" w:beforeAutospacing="1" w:after="100" w:afterAutospacing="1" w:line="240" w:lineRule="auto"/>
        <w:rPr>
          <w:rFonts w:ascii="Times New Roman" w:eastAsia="Times New Roman" w:hAnsi="Times New Roman"/>
          <w:bCs w:val="0"/>
          <w:sz w:val="24"/>
          <w:szCs w:val="24"/>
        </w:rPr>
      </w:pPr>
      <w:r w:rsidRPr="000D54AA">
        <w:rPr>
          <w:rFonts w:ascii="Times New Roman" w:eastAsia="Times New Roman" w:hAnsi="Times New Roman"/>
          <w:bCs w:val="0"/>
          <w:sz w:val="24"/>
          <w:szCs w:val="24"/>
        </w:rPr>
        <w:t xml:space="preserve">A comienzos de 1973 la policía retiró el pasaporte a García-Trevijano con motivo de su participación en una reunión de Estrasburgo, en la que participaron varias personalidades políticas españolas de la oposición antifranquista. Esta medida afectó a otras figuras intelectuales y políticas implicadas en dicha reunión, como el catedrático </w:t>
      </w:r>
      <w:hyperlink r:id="rId4" w:tooltip="Enrique Tierno Galván" w:history="1">
        <w:r w:rsidRPr="000D54AA">
          <w:rPr>
            <w:rFonts w:ascii="Times New Roman" w:eastAsia="Times New Roman" w:hAnsi="Times New Roman"/>
            <w:bCs w:val="0"/>
            <w:color w:val="0000FF"/>
            <w:sz w:val="24"/>
            <w:szCs w:val="24"/>
            <w:u w:val="single"/>
          </w:rPr>
          <w:t xml:space="preserve">Enrique Tierno </w:t>
        </w:r>
        <w:proofErr w:type="spellStart"/>
        <w:r w:rsidRPr="000D54AA">
          <w:rPr>
            <w:rFonts w:ascii="Times New Roman" w:eastAsia="Times New Roman" w:hAnsi="Times New Roman"/>
            <w:bCs w:val="0"/>
            <w:color w:val="0000FF"/>
            <w:sz w:val="24"/>
            <w:szCs w:val="24"/>
            <w:u w:val="single"/>
          </w:rPr>
          <w:t>Galvan</w:t>
        </w:r>
        <w:proofErr w:type="spellEnd"/>
      </w:hyperlink>
      <w:r w:rsidRPr="000D54AA">
        <w:rPr>
          <w:rFonts w:ascii="Times New Roman" w:eastAsia="Times New Roman" w:hAnsi="Times New Roman"/>
          <w:bCs w:val="0"/>
          <w:sz w:val="24"/>
          <w:szCs w:val="24"/>
        </w:rPr>
        <w:t xml:space="preserve">, el profesor </w:t>
      </w:r>
      <w:hyperlink r:id="rId5" w:tooltip="Raúl Morodo" w:history="1">
        <w:r w:rsidRPr="000D54AA">
          <w:rPr>
            <w:rFonts w:ascii="Times New Roman" w:eastAsia="Times New Roman" w:hAnsi="Times New Roman"/>
            <w:bCs w:val="0"/>
            <w:color w:val="0000FF"/>
            <w:sz w:val="24"/>
            <w:szCs w:val="24"/>
            <w:u w:val="single"/>
          </w:rPr>
          <w:t xml:space="preserve">Raúl </w:t>
        </w:r>
        <w:proofErr w:type="spellStart"/>
        <w:r w:rsidRPr="000D54AA">
          <w:rPr>
            <w:rFonts w:ascii="Times New Roman" w:eastAsia="Times New Roman" w:hAnsi="Times New Roman"/>
            <w:bCs w:val="0"/>
            <w:color w:val="0000FF"/>
            <w:sz w:val="24"/>
            <w:szCs w:val="24"/>
            <w:u w:val="single"/>
          </w:rPr>
          <w:t>Morodo</w:t>
        </w:r>
        <w:proofErr w:type="spellEnd"/>
      </w:hyperlink>
      <w:r w:rsidRPr="000D54AA">
        <w:rPr>
          <w:rFonts w:ascii="Times New Roman" w:eastAsia="Times New Roman" w:hAnsi="Times New Roman"/>
          <w:bCs w:val="0"/>
          <w:sz w:val="24"/>
          <w:szCs w:val="24"/>
        </w:rPr>
        <w:t xml:space="preserve">, el economista </w:t>
      </w:r>
      <w:hyperlink r:id="rId6" w:tooltip="José Ramón Lasuén Sancho" w:history="1">
        <w:r w:rsidRPr="000D54AA">
          <w:rPr>
            <w:rFonts w:ascii="Times New Roman" w:eastAsia="Times New Roman" w:hAnsi="Times New Roman"/>
            <w:bCs w:val="0"/>
            <w:color w:val="0000FF"/>
            <w:sz w:val="24"/>
            <w:szCs w:val="24"/>
            <w:u w:val="single"/>
          </w:rPr>
          <w:t xml:space="preserve">José Ramón </w:t>
        </w:r>
        <w:proofErr w:type="spellStart"/>
        <w:r w:rsidRPr="000D54AA">
          <w:rPr>
            <w:rFonts w:ascii="Times New Roman" w:eastAsia="Times New Roman" w:hAnsi="Times New Roman"/>
            <w:bCs w:val="0"/>
            <w:color w:val="0000FF"/>
            <w:sz w:val="24"/>
            <w:szCs w:val="24"/>
            <w:u w:val="single"/>
          </w:rPr>
          <w:t>Lasuén</w:t>
        </w:r>
        <w:proofErr w:type="spellEnd"/>
      </w:hyperlink>
      <w:r w:rsidRPr="000D54AA">
        <w:rPr>
          <w:rFonts w:ascii="Times New Roman" w:eastAsia="Times New Roman" w:hAnsi="Times New Roman"/>
          <w:bCs w:val="0"/>
          <w:sz w:val="24"/>
          <w:szCs w:val="24"/>
        </w:rPr>
        <w:t xml:space="preserve"> y el abogado del Estado </w:t>
      </w:r>
      <w:hyperlink r:id="rId7" w:tooltip="Fernando García Agudín (aún no redactado)" w:history="1">
        <w:r w:rsidRPr="000D54AA">
          <w:rPr>
            <w:rFonts w:ascii="Times New Roman" w:eastAsia="Times New Roman" w:hAnsi="Times New Roman"/>
            <w:bCs w:val="0"/>
            <w:color w:val="0000FF"/>
            <w:sz w:val="24"/>
            <w:szCs w:val="24"/>
            <w:u w:val="single"/>
          </w:rPr>
          <w:t>Fernando García Agudín</w:t>
        </w:r>
      </w:hyperlink>
      <w:r w:rsidRPr="000D54AA">
        <w:rPr>
          <w:rFonts w:ascii="Times New Roman" w:eastAsia="Times New Roman" w:hAnsi="Times New Roman"/>
          <w:bCs w:val="0"/>
          <w:sz w:val="24"/>
          <w:szCs w:val="24"/>
        </w:rPr>
        <w:t>.</w:t>
      </w:r>
      <w:hyperlink r:id="rId8" w:anchor="cite_note-98" w:history="1">
        <w:r w:rsidRPr="000D54AA">
          <w:rPr>
            <w:rFonts w:ascii="Times New Roman" w:eastAsia="Times New Roman" w:hAnsi="Times New Roman"/>
            <w:bCs w:val="0"/>
            <w:color w:val="0000FF"/>
            <w:sz w:val="24"/>
            <w:szCs w:val="24"/>
            <w:u w:val="single"/>
            <w:vertAlign w:val="superscript"/>
          </w:rPr>
          <w:t>98</w:t>
        </w:r>
      </w:hyperlink>
      <w:r w:rsidRPr="000D54AA">
        <w:rPr>
          <w:rFonts w:ascii="Times New Roman" w:eastAsia="Times New Roman" w:hAnsi="Times New Roman"/>
          <w:bCs w:val="0"/>
          <w:sz w:val="24"/>
          <w:szCs w:val="24"/>
        </w:rPr>
        <w:t xml:space="preserve">​ </w:t>
      </w:r>
    </w:p>
    <w:p w:rsidR="000D54AA" w:rsidRPr="000D54AA" w:rsidRDefault="000D54AA" w:rsidP="000D54AA">
      <w:pPr>
        <w:spacing w:before="100" w:beforeAutospacing="1" w:after="100" w:afterAutospacing="1" w:line="240" w:lineRule="auto"/>
        <w:rPr>
          <w:rFonts w:ascii="Times New Roman" w:eastAsia="Times New Roman" w:hAnsi="Times New Roman"/>
          <w:bCs w:val="0"/>
          <w:sz w:val="24"/>
          <w:szCs w:val="24"/>
        </w:rPr>
      </w:pPr>
      <w:r w:rsidRPr="000D54AA">
        <w:rPr>
          <w:rFonts w:ascii="Times New Roman" w:eastAsia="Times New Roman" w:hAnsi="Times New Roman"/>
          <w:bCs w:val="0"/>
          <w:sz w:val="24"/>
          <w:szCs w:val="24"/>
        </w:rPr>
        <w:t xml:space="preserve">Más adelante, en 1974, García-Trevijano preparó en </w:t>
      </w:r>
      <w:hyperlink r:id="rId9" w:tooltip="París" w:history="1">
        <w:r w:rsidRPr="000D54AA">
          <w:rPr>
            <w:rFonts w:ascii="Times New Roman" w:eastAsia="Times New Roman" w:hAnsi="Times New Roman"/>
            <w:bCs w:val="0"/>
            <w:color w:val="0000FF"/>
            <w:sz w:val="24"/>
            <w:szCs w:val="24"/>
            <w:u w:val="single"/>
          </w:rPr>
          <w:t>París</w:t>
        </w:r>
      </w:hyperlink>
      <w:r w:rsidRPr="000D54AA">
        <w:rPr>
          <w:rFonts w:ascii="Times New Roman" w:eastAsia="Times New Roman" w:hAnsi="Times New Roman"/>
          <w:bCs w:val="0"/>
          <w:sz w:val="24"/>
          <w:szCs w:val="24"/>
        </w:rPr>
        <w:t xml:space="preserve"> los encuentros entre Juan de Borbón y las distintas fuerzas políticas antifranquistas republicanas, en cuyos encuentros el conde de Barcelona manifestó: "No tengo ambiciones personales, pero estoy al servicio de España si se pudiese necesitar alguna vez mi labor de arbitraje. En cuanto a la posibilidad de que la monarquía tradicional se restaurase en España con referéndum, pienso que no hay ninguna monarquía en Europa que no esté refrendada por el pueblo. Yo creo que la monarquía, de llegar, llegaría sin referéndum, pero habría que hacerlo después".</w:t>
      </w:r>
      <w:hyperlink r:id="rId10" w:anchor="cite_note-99" w:history="1">
        <w:r w:rsidRPr="000D54AA">
          <w:rPr>
            <w:rFonts w:ascii="Times New Roman" w:eastAsia="Times New Roman" w:hAnsi="Times New Roman"/>
            <w:bCs w:val="0"/>
            <w:color w:val="0000FF"/>
            <w:sz w:val="24"/>
            <w:szCs w:val="24"/>
            <w:u w:val="single"/>
            <w:vertAlign w:val="superscript"/>
          </w:rPr>
          <w:t>99</w:t>
        </w:r>
      </w:hyperlink>
      <w:r w:rsidRPr="000D54AA">
        <w:rPr>
          <w:rFonts w:ascii="Times New Roman" w:eastAsia="Times New Roman" w:hAnsi="Times New Roman"/>
          <w:bCs w:val="0"/>
          <w:sz w:val="24"/>
          <w:szCs w:val="24"/>
        </w:rPr>
        <w:t xml:space="preserve">​ </w:t>
      </w:r>
    </w:p>
    <w:p w:rsidR="000D54AA" w:rsidRPr="000D54AA" w:rsidRDefault="000D54AA" w:rsidP="000D54AA">
      <w:pPr>
        <w:spacing w:before="100" w:beforeAutospacing="1" w:after="100" w:afterAutospacing="1" w:line="240" w:lineRule="auto"/>
        <w:rPr>
          <w:rFonts w:ascii="Times New Roman" w:eastAsia="Times New Roman" w:hAnsi="Times New Roman"/>
          <w:bCs w:val="0"/>
          <w:sz w:val="24"/>
          <w:szCs w:val="24"/>
        </w:rPr>
      </w:pPr>
      <w:r w:rsidRPr="000D54AA">
        <w:rPr>
          <w:rFonts w:ascii="Times New Roman" w:eastAsia="Times New Roman" w:hAnsi="Times New Roman"/>
          <w:bCs w:val="0"/>
          <w:sz w:val="24"/>
          <w:szCs w:val="24"/>
        </w:rPr>
        <w:t xml:space="preserve">En julio de 1974 García-Trevijano fundó, junto con otros intelectuales y dirigentes políticos, la Junta Democrática de España, que agrupaba a distintas fuerzas políticas, sindicales y sociales de oposición antifranquista. García-Trevijano redactó el manifiesto público de la organización y emprendió una ardua campaña política por la </w:t>
      </w:r>
      <w:hyperlink r:id="rId11" w:tooltip="Reforma o ruptura" w:history="1">
        <w:r w:rsidRPr="000D54AA">
          <w:rPr>
            <w:rFonts w:ascii="Times New Roman" w:eastAsia="Times New Roman" w:hAnsi="Times New Roman"/>
            <w:bCs w:val="0"/>
            <w:color w:val="0000FF"/>
            <w:sz w:val="24"/>
            <w:szCs w:val="24"/>
            <w:u w:val="single"/>
          </w:rPr>
          <w:t>ruptura democrática</w:t>
        </w:r>
      </w:hyperlink>
      <w:r w:rsidRPr="000D54AA">
        <w:rPr>
          <w:rFonts w:ascii="Times New Roman" w:eastAsia="Times New Roman" w:hAnsi="Times New Roman"/>
          <w:bCs w:val="0"/>
          <w:sz w:val="24"/>
          <w:szCs w:val="24"/>
        </w:rPr>
        <w:t>, en virtud de la cual se fundaron un centenar de Juntas locales y sectoriales por multitud de poblaciones españolas.</w:t>
      </w:r>
      <w:hyperlink r:id="rId12" w:anchor="cite_note-100" w:history="1">
        <w:r w:rsidRPr="000D54AA">
          <w:rPr>
            <w:rFonts w:ascii="Times New Roman" w:eastAsia="Times New Roman" w:hAnsi="Times New Roman"/>
            <w:bCs w:val="0"/>
            <w:color w:val="0000FF"/>
            <w:sz w:val="24"/>
            <w:szCs w:val="24"/>
            <w:u w:val="single"/>
            <w:vertAlign w:val="superscript"/>
          </w:rPr>
          <w:t>100</w:t>
        </w:r>
      </w:hyperlink>
      <w:r w:rsidRPr="000D54AA">
        <w:rPr>
          <w:rFonts w:ascii="Times New Roman" w:eastAsia="Times New Roman" w:hAnsi="Times New Roman"/>
          <w:bCs w:val="0"/>
          <w:sz w:val="24"/>
          <w:szCs w:val="24"/>
        </w:rPr>
        <w:t xml:space="preserve">​ Como coordinador ejecutivo de la Junta Democrática de España, fue responsable de pronunciar el discurso de presentación de dicha coalición ante el </w:t>
      </w:r>
      <w:hyperlink r:id="rId13" w:tooltip="Parlamento Europeo" w:history="1">
        <w:r w:rsidRPr="000D54AA">
          <w:rPr>
            <w:rFonts w:ascii="Times New Roman" w:eastAsia="Times New Roman" w:hAnsi="Times New Roman"/>
            <w:bCs w:val="0"/>
            <w:color w:val="0000FF"/>
            <w:sz w:val="24"/>
            <w:szCs w:val="24"/>
            <w:u w:val="single"/>
          </w:rPr>
          <w:t>Parlamento Europeo</w:t>
        </w:r>
      </w:hyperlink>
      <w:r w:rsidRPr="000D54AA">
        <w:rPr>
          <w:rFonts w:ascii="Times New Roman" w:eastAsia="Times New Roman" w:hAnsi="Times New Roman"/>
          <w:bCs w:val="0"/>
          <w:sz w:val="24"/>
          <w:szCs w:val="24"/>
        </w:rPr>
        <w:t xml:space="preserve">. </w:t>
      </w:r>
    </w:p>
    <w:p w:rsidR="000D54AA" w:rsidRPr="000D54AA" w:rsidRDefault="000D54AA" w:rsidP="000D54AA">
      <w:pPr>
        <w:spacing w:before="100" w:beforeAutospacing="1" w:after="100" w:afterAutospacing="1" w:line="240" w:lineRule="auto"/>
        <w:rPr>
          <w:rFonts w:ascii="Times New Roman" w:eastAsia="Times New Roman" w:hAnsi="Times New Roman"/>
          <w:bCs w:val="0"/>
          <w:sz w:val="24"/>
          <w:szCs w:val="24"/>
        </w:rPr>
      </w:pPr>
      <w:r w:rsidRPr="000D54AA">
        <w:rPr>
          <w:rFonts w:ascii="Times New Roman" w:eastAsia="Times New Roman" w:hAnsi="Times New Roman"/>
          <w:bCs w:val="0"/>
          <w:sz w:val="24"/>
          <w:szCs w:val="24"/>
        </w:rPr>
        <w:t xml:space="preserve">En mayo de 1975 el </w:t>
      </w:r>
      <w:hyperlink r:id="rId14" w:tooltip="Gobernador civil" w:history="1">
        <w:r w:rsidRPr="000D54AA">
          <w:rPr>
            <w:rFonts w:ascii="Times New Roman" w:eastAsia="Times New Roman" w:hAnsi="Times New Roman"/>
            <w:bCs w:val="0"/>
            <w:color w:val="0000FF"/>
            <w:sz w:val="24"/>
            <w:szCs w:val="24"/>
            <w:u w:val="single"/>
          </w:rPr>
          <w:t>gobierno civil</w:t>
        </w:r>
      </w:hyperlink>
      <w:r w:rsidRPr="000D54AA">
        <w:rPr>
          <w:rFonts w:ascii="Times New Roman" w:eastAsia="Times New Roman" w:hAnsi="Times New Roman"/>
          <w:bCs w:val="0"/>
          <w:sz w:val="24"/>
          <w:szCs w:val="24"/>
        </w:rPr>
        <w:t xml:space="preserve"> de </w:t>
      </w:r>
      <w:hyperlink r:id="rId15" w:tooltip="Alicante" w:history="1">
        <w:r w:rsidRPr="000D54AA">
          <w:rPr>
            <w:rFonts w:ascii="Times New Roman" w:eastAsia="Times New Roman" w:hAnsi="Times New Roman"/>
            <w:bCs w:val="0"/>
            <w:color w:val="0000FF"/>
            <w:sz w:val="24"/>
            <w:szCs w:val="24"/>
            <w:u w:val="single"/>
          </w:rPr>
          <w:t>Alicante</w:t>
        </w:r>
      </w:hyperlink>
      <w:r w:rsidRPr="000D54AA">
        <w:rPr>
          <w:rFonts w:ascii="Times New Roman" w:eastAsia="Times New Roman" w:hAnsi="Times New Roman"/>
          <w:bCs w:val="0"/>
          <w:sz w:val="24"/>
          <w:szCs w:val="24"/>
        </w:rPr>
        <w:t xml:space="preserve"> impuso a García-Trevijano una multa de 100.000 pesetas por haber organizado, convocado y asistido a una serie de reuniones en el Club Sierra Nevada de </w:t>
      </w:r>
      <w:hyperlink r:id="rId16" w:tooltip="Benidorm" w:history="1">
        <w:r w:rsidRPr="000D54AA">
          <w:rPr>
            <w:rFonts w:ascii="Times New Roman" w:eastAsia="Times New Roman" w:hAnsi="Times New Roman"/>
            <w:bCs w:val="0"/>
            <w:color w:val="0000FF"/>
            <w:sz w:val="24"/>
            <w:szCs w:val="24"/>
            <w:u w:val="single"/>
          </w:rPr>
          <w:t>Benidorm</w:t>
        </w:r>
      </w:hyperlink>
      <w:r w:rsidRPr="000D54AA">
        <w:rPr>
          <w:rFonts w:ascii="Times New Roman" w:eastAsia="Times New Roman" w:hAnsi="Times New Roman"/>
          <w:bCs w:val="0"/>
          <w:sz w:val="24"/>
          <w:szCs w:val="24"/>
        </w:rPr>
        <w:t xml:space="preserve">, "cuyo objeto y motivación atentan contra la unidad política y social de la nación", según manifestaron las autoridades franquistas, aplicándosele la sanción dispuesta en la </w:t>
      </w:r>
      <w:hyperlink r:id="rId17" w:tooltip="Ley de Orden Público de 1959" w:history="1">
        <w:r w:rsidRPr="000D54AA">
          <w:rPr>
            <w:rFonts w:ascii="Times New Roman" w:eastAsia="Times New Roman" w:hAnsi="Times New Roman"/>
            <w:bCs w:val="0"/>
            <w:color w:val="0000FF"/>
            <w:sz w:val="24"/>
            <w:szCs w:val="24"/>
            <w:u w:val="single"/>
          </w:rPr>
          <w:t>Ley de Orden Público de 1959</w:t>
        </w:r>
      </w:hyperlink>
      <w:r w:rsidRPr="000D54AA">
        <w:rPr>
          <w:rFonts w:ascii="Times New Roman" w:eastAsia="Times New Roman" w:hAnsi="Times New Roman"/>
          <w:bCs w:val="0"/>
          <w:sz w:val="24"/>
          <w:szCs w:val="24"/>
        </w:rPr>
        <w:t>.</w:t>
      </w:r>
      <w:hyperlink r:id="rId18" w:anchor="cite_note-101" w:history="1">
        <w:r w:rsidRPr="000D54AA">
          <w:rPr>
            <w:rFonts w:ascii="Times New Roman" w:eastAsia="Times New Roman" w:hAnsi="Times New Roman"/>
            <w:bCs w:val="0"/>
            <w:color w:val="0000FF"/>
            <w:sz w:val="24"/>
            <w:szCs w:val="24"/>
            <w:u w:val="single"/>
            <w:vertAlign w:val="superscript"/>
          </w:rPr>
          <w:t>101</w:t>
        </w:r>
      </w:hyperlink>
      <w:r w:rsidRPr="000D54AA">
        <w:rPr>
          <w:rFonts w:ascii="Times New Roman" w:eastAsia="Times New Roman" w:hAnsi="Times New Roman"/>
          <w:bCs w:val="0"/>
          <w:sz w:val="24"/>
          <w:szCs w:val="24"/>
        </w:rPr>
        <w:t xml:space="preserve">​ </w:t>
      </w:r>
    </w:p>
    <w:p w:rsidR="000D54AA" w:rsidRPr="000D54AA" w:rsidRDefault="000D54AA" w:rsidP="000D54AA">
      <w:pPr>
        <w:spacing w:before="100" w:beforeAutospacing="1" w:after="100" w:afterAutospacing="1" w:line="240" w:lineRule="auto"/>
        <w:rPr>
          <w:rFonts w:ascii="Times New Roman" w:eastAsia="Times New Roman" w:hAnsi="Times New Roman"/>
          <w:bCs w:val="0"/>
          <w:sz w:val="24"/>
          <w:szCs w:val="24"/>
        </w:rPr>
      </w:pPr>
      <w:r w:rsidRPr="000D54AA">
        <w:rPr>
          <w:rFonts w:ascii="Times New Roman" w:eastAsia="Times New Roman" w:hAnsi="Times New Roman"/>
          <w:bCs w:val="0"/>
          <w:sz w:val="24"/>
          <w:szCs w:val="24"/>
        </w:rPr>
        <w:t xml:space="preserve">Por su actividad opositora contra la dictadura franquista, García-Trevijano sufrió diversos procesamientos, encarcelamientos y multas. Por su intervención en la </w:t>
      </w:r>
      <w:hyperlink r:id="rId19" w:tooltip="Conferencia Constitucional de Guinea Ecuatorial de 1967-1968" w:history="1">
        <w:r w:rsidRPr="000D54AA">
          <w:rPr>
            <w:rFonts w:ascii="Times New Roman" w:eastAsia="Times New Roman" w:hAnsi="Times New Roman"/>
            <w:bCs w:val="0"/>
            <w:color w:val="0000FF"/>
            <w:sz w:val="24"/>
            <w:szCs w:val="24"/>
            <w:u w:val="single"/>
          </w:rPr>
          <w:t>Conferencia Constitucional de Guinea Ecuatorial</w:t>
        </w:r>
      </w:hyperlink>
      <w:r w:rsidRPr="000D54AA">
        <w:rPr>
          <w:rFonts w:ascii="Times New Roman" w:eastAsia="Times New Roman" w:hAnsi="Times New Roman"/>
          <w:bCs w:val="0"/>
          <w:sz w:val="24"/>
          <w:szCs w:val="24"/>
        </w:rPr>
        <w:t xml:space="preserve">, fue procesado por alta traición en el </w:t>
      </w:r>
      <w:hyperlink r:id="rId20" w:tooltip="Tribunal de Orden Público" w:history="1">
        <w:r w:rsidRPr="000D54AA">
          <w:rPr>
            <w:rFonts w:ascii="Times New Roman" w:eastAsia="Times New Roman" w:hAnsi="Times New Roman"/>
            <w:bCs w:val="0"/>
            <w:color w:val="0000FF"/>
            <w:sz w:val="24"/>
            <w:szCs w:val="24"/>
            <w:u w:val="single"/>
          </w:rPr>
          <w:t>Tribunal de Orden Público</w:t>
        </w:r>
      </w:hyperlink>
      <w:r w:rsidRPr="000D54AA">
        <w:rPr>
          <w:rFonts w:ascii="Times New Roman" w:eastAsia="Times New Roman" w:hAnsi="Times New Roman"/>
          <w:bCs w:val="0"/>
          <w:sz w:val="24"/>
          <w:szCs w:val="24"/>
        </w:rPr>
        <w:t xml:space="preserve"> (caso instruido por </w:t>
      </w:r>
      <w:hyperlink r:id="rId21" w:tooltip="Jaime Mariscal de Gante" w:history="1">
        <w:r w:rsidRPr="000D54AA">
          <w:rPr>
            <w:rFonts w:ascii="Times New Roman" w:eastAsia="Times New Roman" w:hAnsi="Times New Roman"/>
            <w:bCs w:val="0"/>
            <w:color w:val="0000FF"/>
            <w:sz w:val="24"/>
            <w:szCs w:val="24"/>
            <w:u w:val="single"/>
          </w:rPr>
          <w:t>Jaime Mariscal de Gante</w:t>
        </w:r>
      </w:hyperlink>
      <w:r w:rsidRPr="000D54AA">
        <w:rPr>
          <w:rFonts w:ascii="Times New Roman" w:eastAsia="Times New Roman" w:hAnsi="Times New Roman"/>
          <w:bCs w:val="0"/>
          <w:sz w:val="24"/>
          <w:szCs w:val="24"/>
        </w:rPr>
        <w:t>).</w:t>
      </w:r>
      <w:hyperlink r:id="rId22" w:anchor="cite_note-102" w:history="1">
        <w:r w:rsidRPr="000D54AA">
          <w:rPr>
            <w:rFonts w:ascii="Times New Roman" w:eastAsia="Times New Roman" w:hAnsi="Times New Roman"/>
            <w:bCs w:val="0"/>
            <w:color w:val="0000FF"/>
            <w:sz w:val="24"/>
            <w:szCs w:val="24"/>
            <w:u w:val="single"/>
            <w:vertAlign w:val="superscript"/>
          </w:rPr>
          <w:t>102</w:t>
        </w:r>
      </w:hyperlink>
      <w:r w:rsidRPr="000D54AA">
        <w:rPr>
          <w:rFonts w:ascii="Times New Roman" w:eastAsia="Times New Roman" w:hAnsi="Times New Roman"/>
          <w:bCs w:val="0"/>
          <w:sz w:val="24"/>
          <w:szCs w:val="24"/>
        </w:rPr>
        <w:t xml:space="preserve">​ También sufrió cinco retiradas de pasaporte, dos importantes multas administrativas, tres detenciones policiales y un nuevo procesamiento ante el Tribunal de Orden Público por un delito contra la forma de Estado (caso instruido por el juez Gómez-Chaparro) y el encarcelamiento durante setenta y seis días en la </w:t>
      </w:r>
      <w:hyperlink r:id="rId23" w:tooltip="Cárcel de Carabanchel" w:history="1">
        <w:r w:rsidRPr="000D54AA">
          <w:rPr>
            <w:rFonts w:ascii="Times New Roman" w:eastAsia="Times New Roman" w:hAnsi="Times New Roman"/>
            <w:bCs w:val="0"/>
            <w:color w:val="0000FF"/>
            <w:sz w:val="24"/>
            <w:szCs w:val="24"/>
            <w:u w:val="single"/>
          </w:rPr>
          <w:t>cárcel de Carabanchel</w:t>
        </w:r>
      </w:hyperlink>
      <w:r w:rsidRPr="000D54AA">
        <w:rPr>
          <w:rFonts w:ascii="Times New Roman" w:eastAsia="Times New Roman" w:hAnsi="Times New Roman"/>
          <w:bCs w:val="0"/>
          <w:sz w:val="24"/>
          <w:szCs w:val="24"/>
        </w:rPr>
        <w:t xml:space="preserve"> por su acción política.</w:t>
      </w:r>
      <w:hyperlink r:id="rId24" w:anchor="cite_note-103" w:history="1">
        <w:r w:rsidRPr="000D54AA">
          <w:rPr>
            <w:rFonts w:ascii="Times New Roman" w:eastAsia="Times New Roman" w:hAnsi="Times New Roman"/>
            <w:bCs w:val="0"/>
            <w:color w:val="0000FF"/>
            <w:sz w:val="24"/>
            <w:szCs w:val="24"/>
            <w:u w:val="single"/>
            <w:vertAlign w:val="superscript"/>
          </w:rPr>
          <w:t>103</w:t>
        </w:r>
      </w:hyperlink>
      <w:r w:rsidRPr="000D54AA">
        <w:rPr>
          <w:rFonts w:ascii="Times New Roman" w:eastAsia="Times New Roman" w:hAnsi="Times New Roman"/>
          <w:bCs w:val="0"/>
          <w:sz w:val="24"/>
          <w:szCs w:val="24"/>
        </w:rPr>
        <w:t>​</w:t>
      </w:r>
      <w:hyperlink r:id="rId25" w:anchor="cite_note-104" w:history="1">
        <w:r w:rsidRPr="000D54AA">
          <w:rPr>
            <w:rFonts w:ascii="Times New Roman" w:eastAsia="Times New Roman" w:hAnsi="Times New Roman"/>
            <w:bCs w:val="0"/>
            <w:color w:val="0000FF"/>
            <w:sz w:val="24"/>
            <w:szCs w:val="24"/>
            <w:u w:val="single"/>
            <w:vertAlign w:val="superscript"/>
          </w:rPr>
          <w:t>104</w:t>
        </w:r>
      </w:hyperlink>
      <w:r w:rsidRPr="000D54AA">
        <w:rPr>
          <w:rFonts w:ascii="Times New Roman" w:eastAsia="Times New Roman" w:hAnsi="Times New Roman"/>
          <w:bCs w:val="0"/>
          <w:sz w:val="24"/>
          <w:szCs w:val="24"/>
        </w:rPr>
        <w:t xml:space="preserve">​ </w:t>
      </w:r>
    </w:p>
    <w:p w:rsidR="004D67CE" w:rsidRDefault="004D67CE" w:rsidP="000D54AA"/>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0D54AA"/>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2FB"/>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3F6A"/>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403"/>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4AA"/>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6A9"/>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B7FAB"/>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67E"/>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2F45"/>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ADE"/>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ED0"/>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637"/>
    <w:rsid w:val="00AB6807"/>
    <w:rsid w:val="00AB68BD"/>
    <w:rsid w:val="00AB68C1"/>
    <w:rsid w:val="00AB6A84"/>
    <w:rsid w:val="00AB6D9C"/>
    <w:rsid w:val="00AB6EA7"/>
    <w:rsid w:val="00AB71C4"/>
    <w:rsid w:val="00AB7973"/>
    <w:rsid w:val="00AB797B"/>
    <w:rsid w:val="00AB7C43"/>
    <w:rsid w:val="00AB7E59"/>
    <w:rsid w:val="00AC004E"/>
    <w:rsid w:val="00AC01F2"/>
    <w:rsid w:val="00AC07A4"/>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03A"/>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5865"/>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5FD"/>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199"/>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customStyle="1" w:styleId="mw-headline">
    <w:name w:val="mw-headline"/>
    <w:basedOn w:val="Fuentedeprrafopredeter"/>
    <w:rsid w:val="000D54AA"/>
  </w:style>
  <w:style w:type="paragraph" w:styleId="NormalWeb">
    <w:name w:val="Normal (Web)"/>
    <w:basedOn w:val="Normal"/>
    <w:uiPriority w:val="99"/>
    <w:semiHidden/>
    <w:unhideWhenUsed/>
    <w:rsid w:val="000D54AA"/>
    <w:pPr>
      <w:spacing w:before="100" w:beforeAutospacing="1" w:after="100" w:afterAutospacing="1" w:line="240" w:lineRule="auto"/>
      <w:jc w:val="left"/>
    </w:pPr>
    <w:rPr>
      <w:rFonts w:ascii="Times New Roman" w:eastAsia="Times New Roman" w:hAnsi="Times New Roman"/>
      <w:bCs w:val="0"/>
      <w:sz w:val="24"/>
      <w:szCs w:val="24"/>
    </w:rPr>
  </w:style>
  <w:style w:type="character" w:styleId="Hipervnculo">
    <w:name w:val="Hyperlink"/>
    <w:basedOn w:val="Fuentedeprrafopredeter"/>
    <w:uiPriority w:val="99"/>
    <w:semiHidden/>
    <w:unhideWhenUsed/>
    <w:rsid w:val="000D54AA"/>
    <w:rPr>
      <w:color w:val="0000FF"/>
      <w:u w:val="single"/>
    </w:rPr>
  </w:style>
</w:styles>
</file>

<file path=word/webSettings.xml><?xml version="1.0" encoding="utf-8"?>
<w:webSettings xmlns:r="http://schemas.openxmlformats.org/officeDocument/2006/relationships" xmlns:w="http://schemas.openxmlformats.org/wordprocessingml/2006/main">
  <w:divs>
    <w:div w:id="9590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ntonio_Garc%C3%ADa-Trevijano" TargetMode="External"/><Relationship Id="rId13" Type="http://schemas.openxmlformats.org/officeDocument/2006/relationships/hyperlink" Target="https://es.wikipedia.org/wiki/Parlamento_Europeo" TargetMode="External"/><Relationship Id="rId18" Type="http://schemas.openxmlformats.org/officeDocument/2006/relationships/hyperlink" Target="https://es.wikipedia.org/wiki/Antonio_Garc%C3%ADa-Trevijan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s.wikipedia.org/wiki/Jaime_Mariscal_de_Gante" TargetMode="External"/><Relationship Id="rId7" Type="http://schemas.openxmlformats.org/officeDocument/2006/relationships/hyperlink" Target="https://es.wikipedia.org/w/index.php?title=Fernando_Garc%C3%ADa_Agud%C3%ADn&amp;action=edit&amp;redlink=1" TargetMode="External"/><Relationship Id="rId12" Type="http://schemas.openxmlformats.org/officeDocument/2006/relationships/hyperlink" Target="https://es.wikipedia.org/wiki/Antonio_Garc%C3%ADa-Trevijano" TargetMode="External"/><Relationship Id="rId17" Type="http://schemas.openxmlformats.org/officeDocument/2006/relationships/hyperlink" Target="https://es.wikipedia.org/wiki/Ley_de_Orden_P%C3%BAblico_de_1959" TargetMode="External"/><Relationship Id="rId25" Type="http://schemas.openxmlformats.org/officeDocument/2006/relationships/hyperlink" Target="https://es.wikipedia.org/wiki/Antonio_Garc%C3%ADa-Trevijano" TargetMode="External"/><Relationship Id="rId2" Type="http://schemas.openxmlformats.org/officeDocument/2006/relationships/settings" Target="settings.xml"/><Relationship Id="rId16" Type="http://schemas.openxmlformats.org/officeDocument/2006/relationships/hyperlink" Target="https://es.wikipedia.org/wiki/Benidorm" TargetMode="External"/><Relationship Id="rId20" Type="http://schemas.openxmlformats.org/officeDocument/2006/relationships/hyperlink" Target="https://es.wikipedia.org/wiki/Tribunal_de_Orden_P%C3%BAblico" TargetMode="External"/><Relationship Id="rId1" Type="http://schemas.openxmlformats.org/officeDocument/2006/relationships/styles" Target="styles.xml"/><Relationship Id="rId6" Type="http://schemas.openxmlformats.org/officeDocument/2006/relationships/hyperlink" Target="https://es.wikipedia.org/wiki/Jos%C3%A9_Ram%C3%B3n_Lasu%C3%A9n_Sancho" TargetMode="External"/><Relationship Id="rId11" Type="http://schemas.openxmlformats.org/officeDocument/2006/relationships/hyperlink" Target="https://es.wikipedia.org/wiki/Reforma_o_ruptura" TargetMode="External"/><Relationship Id="rId24" Type="http://schemas.openxmlformats.org/officeDocument/2006/relationships/hyperlink" Target="https://es.wikipedia.org/wiki/Antonio_Garc%C3%ADa-Trevijano" TargetMode="External"/><Relationship Id="rId5" Type="http://schemas.openxmlformats.org/officeDocument/2006/relationships/hyperlink" Target="https://es.wikipedia.org/wiki/Ra%C3%BAl_Morodo" TargetMode="External"/><Relationship Id="rId15" Type="http://schemas.openxmlformats.org/officeDocument/2006/relationships/hyperlink" Target="https://es.wikipedia.org/wiki/Alicante" TargetMode="External"/><Relationship Id="rId23" Type="http://schemas.openxmlformats.org/officeDocument/2006/relationships/hyperlink" Target="https://es.wikipedia.org/wiki/C%C3%A1rcel_de_Carabanchel" TargetMode="External"/><Relationship Id="rId10" Type="http://schemas.openxmlformats.org/officeDocument/2006/relationships/hyperlink" Target="https://es.wikipedia.org/wiki/Antonio_Garc%C3%ADa-Trevijano" TargetMode="External"/><Relationship Id="rId19" Type="http://schemas.openxmlformats.org/officeDocument/2006/relationships/hyperlink" Target="https://es.wikipedia.org/wiki/Conferencia_Constitucional_de_Guinea_Ecuatorial_de_1967-1968" TargetMode="External"/><Relationship Id="rId4" Type="http://schemas.openxmlformats.org/officeDocument/2006/relationships/hyperlink" Target="https://es.wikipedia.org/wiki/Enrique_Tierno_Galv%C3%A1n" TargetMode="External"/><Relationship Id="rId9" Type="http://schemas.openxmlformats.org/officeDocument/2006/relationships/hyperlink" Target="https://es.wikipedia.org/wiki/Par%C3%ADs" TargetMode="External"/><Relationship Id="rId14" Type="http://schemas.openxmlformats.org/officeDocument/2006/relationships/hyperlink" Target="https://es.wikipedia.org/wiki/Gobernador_civil" TargetMode="External"/><Relationship Id="rId22" Type="http://schemas.openxmlformats.org/officeDocument/2006/relationships/hyperlink" Target="https://es.wikipedia.org/wiki/Antonio_Garc%C3%ADa-Trevijano"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774</Words>
  <Characters>4262</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2023-05-22T18:00:00Z</dcterms:created>
  <dcterms:modified xsi:type="dcterms:W3CDTF">2023-05-22T18:01:00Z</dcterms:modified>
</cp:coreProperties>
</file>