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9C" w:rsidRDefault="00484E9C" w:rsidP="00484E9C">
      <w:pPr>
        <w:outlineLvl w:val="3"/>
        <w:rPr>
          <w:rFonts w:eastAsia="Times New Roman"/>
          <w:b/>
          <w:szCs w:val="20"/>
        </w:rPr>
      </w:pPr>
      <w:r w:rsidRPr="00484E9C">
        <w:rPr>
          <w:rFonts w:eastAsia="Times New Roman"/>
          <w:b/>
          <w:szCs w:val="20"/>
        </w:rPr>
        <w:t>LAS ESCUCHAS DEL CESID</w:t>
      </w:r>
    </w:p>
    <w:p w:rsidR="00484E9C" w:rsidRPr="00484E9C" w:rsidRDefault="00484E9C" w:rsidP="00484E9C">
      <w:pPr>
        <w:outlineLvl w:val="3"/>
        <w:rPr>
          <w:rFonts w:eastAsia="Times New Roman"/>
          <w:b/>
          <w:szCs w:val="20"/>
        </w:rPr>
      </w:pPr>
    </w:p>
    <w:p w:rsidR="00484E9C" w:rsidRPr="00484E9C" w:rsidRDefault="00484E9C" w:rsidP="00484E9C">
      <w:pPr>
        <w:rPr>
          <w:rFonts w:eastAsia="Times New Roman"/>
          <w:bCs w:val="0"/>
          <w:szCs w:val="20"/>
        </w:rPr>
      </w:pPr>
      <w:r w:rsidRPr="00484E9C">
        <w:rPr>
          <w:rFonts w:eastAsia="Times New Roman"/>
          <w:bCs w:val="0"/>
          <w:szCs w:val="20"/>
        </w:rPr>
        <w:t xml:space="preserve">El 12 de junio de 1995, el diario </w:t>
      </w:r>
      <w:hyperlink r:id="rId4" w:tooltip="El Mundo (España)" w:history="1">
        <w:r w:rsidRPr="00484E9C">
          <w:rPr>
            <w:rFonts w:eastAsia="Times New Roman"/>
            <w:bCs w:val="0"/>
            <w:i/>
            <w:iCs/>
            <w:color w:val="0000FF"/>
            <w:szCs w:val="20"/>
            <w:u w:val="single"/>
          </w:rPr>
          <w:t>El Mundo</w:t>
        </w:r>
      </w:hyperlink>
      <w:r w:rsidRPr="00484E9C">
        <w:rPr>
          <w:rFonts w:eastAsia="Times New Roman"/>
          <w:bCs w:val="0"/>
          <w:szCs w:val="20"/>
        </w:rPr>
        <w:t xml:space="preserve"> publicó en portada la noticia de que los </w:t>
      </w:r>
      <w:hyperlink r:id="rId5" w:tooltip="Servicio de inteligencia" w:history="1">
        <w:r w:rsidRPr="00484E9C">
          <w:rPr>
            <w:rFonts w:eastAsia="Times New Roman"/>
            <w:bCs w:val="0"/>
            <w:color w:val="0000FF"/>
            <w:szCs w:val="20"/>
            <w:u w:val="single"/>
          </w:rPr>
          <w:t>servicios de inteligencia</w:t>
        </w:r>
      </w:hyperlink>
      <w:r w:rsidRPr="00484E9C">
        <w:rPr>
          <w:rFonts w:eastAsia="Times New Roman"/>
          <w:bCs w:val="0"/>
          <w:szCs w:val="20"/>
        </w:rPr>
        <w:t xml:space="preserve"> del </w:t>
      </w:r>
      <w:hyperlink r:id="rId6" w:tooltip="CESID" w:history="1">
        <w:r w:rsidRPr="00484E9C">
          <w:rPr>
            <w:rFonts w:eastAsia="Times New Roman"/>
            <w:bCs w:val="0"/>
            <w:color w:val="0000FF"/>
            <w:szCs w:val="20"/>
            <w:u w:val="single"/>
          </w:rPr>
          <w:t>CESID</w:t>
        </w:r>
      </w:hyperlink>
      <w:r w:rsidRPr="00484E9C">
        <w:rPr>
          <w:rFonts w:eastAsia="Times New Roman"/>
          <w:bCs w:val="0"/>
          <w:szCs w:val="20"/>
        </w:rPr>
        <w:t xml:space="preserve"> llevaban más de una década espiando y grabando las conversaciones telefónicas de políticos, empresarios y periodistas.</w:t>
      </w:r>
      <w:hyperlink r:id="rId7" w:anchor="cite_note-170" w:history="1">
        <w:r w:rsidRPr="00484E9C">
          <w:rPr>
            <w:rFonts w:eastAsia="Times New Roman"/>
            <w:bCs w:val="0"/>
            <w:color w:val="0000FF"/>
            <w:szCs w:val="20"/>
            <w:u w:val="single"/>
            <w:vertAlign w:val="superscript"/>
          </w:rPr>
          <w:t>170</w:t>
        </w:r>
      </w:hyperlink>
      <w:r w:rsidRPr="00484E9C">
        <w:rPr>
          <w:rFonts w:ascii="Times New Roman" w:eastAsia="Times New Roman" w:hAnsi="Times New Roman"/>
          <w:bCs w:val="0"/>
          <w:szCs w:val="20"/>
        </w:rPr>
        <w:t>​</w:t>
      </w:r>
      <w:r w:rsidRPr="00484E9C">
        <w:rPr>
          <w:rFonts w:eastAsia="Times New Roman"/>
          <w:bCs w:val="0"/>
          <w:szCs w:val="20"/>
        </w:rPr>
        <w:t xml:space="preserve"> A raíz de esta noticia, el </w:t>
      </w:r>
      <w:hyperlink r:id="rId8" w:tooltip="Fiscal General del Estado (España)" w:history="1">
        <w:r w:rsidRPr="00484E9C">
          <w:rPr>
            <w:rFonts w:eastAsia="Times New Roman"/>
            <w:bCs w:val="0"/>
            <w:color w:val="0000FF"/>
            <w:szCs w:val="20"/>
            <w:u w:val="single"/>
          </w:rPr>
          <w:t>fiscal general del Estado</w:t>
        </w:r>
      </w:hyperlink>
      <w:r w:rsidRPr="00484E9C">
        <w:rPr>
          <w:rFonts w:eastAsia="Times New Roman"/>
          <w:bCs w:val="0"/>
          <w:szCs w:val="20"/>
        </w:rPr>
        <w:t xml:space="preserve"> abrió una investigación judicial, que originaría el denominado </w:t>
      </w:r>
      <w:hyperlink r:id="rId9" w:tooltip="Caso de los papeles del CESID (aún no redactado)" w:history="1">
        <w:r w:rsidRPr="00484E9C">
          <w:rPr>
            <w:rFonts w:eastAsia="Times New Roman"/>
            <w:bCs w:val="0"/>
            <w:color w:val="0000FF"/>
            <w:szCs w:val="20"/>
            <w:u w:val="single"/>
          </w:rPr>
          <w:t>caso de los papeles del CESID</w:t>
        </w:r>
      </w:hyperlink>
      <w:r w:rsidRPr="00484E9C">
        <w:rPr>
          <w:rFonts w:eastAsia="Times New Roman"/>
          <w:bCs w:val="0"/>
          <w:szCs w:val="20"/>
        </w:rPr>
        <w:t xml:space="preserve">. </w:t>
      </w:r>
    </w:p>
    <w:p w:rsidR="00484E9C" w:rsidRPr="00484E9C" w:rsidRDefault="00484E9C" w:rsidP="00484E9C">
      <w:pPr>
        <w:rPr>
          <w:rFonts w:eastAsia="Times New Roman"/>
          <w:bCs w:val="0"/>
          <w:szCs w:val="20"/>
        </w:rPr>
      </w:pPr>
      <w:r w:rsidRPr="00484E9C">
        <w:rPr>
          <w:rFonts w:eastAsia="Times New Roman"/>
          <w:bCs w:val="0"/>
          <w:szCs w:val="20"/>
        </w:rPr>
        <w:t>En el curso de la investigación se descubrió que Antonio García-Trevijano figuraba en el listado de los espiados por el CESID,</w:t>
      </w:r>
      <w:hyperlink r:id="rId10" w:anchor="cite_note-171" w:history="1">
        <w:r w:rsidRPr="00484E9C">
          <w:rPr>
            <w:rFonts w:eastAsia="Times New Roman"/>
            <w:bCs w:val="0"/>
            <w:color w:val="0000FF"/>
            <w:szCs w:val="20"/>
            <w:u w:val="single"/>
            <w:vertAlign w:val="superscript"/>
          </w:rPr>
          <w:t>171</w:t>
        </w:r>
      </w:hyperlink>
      <w:r w:rsidRPr="00484E9C">
        <w:rPr>
          <w:rFonts w:ascii="Times New Roman" w:eastAsia="Times New Roman" w:hAnsi="Times New Roman"/>
          <w:bCs w:val="0"/>
          <w:szCs w:val="20"/>
        </w:rPr>
        <w:t>​</w:t>
      </w:r>
      <w:r w:rsidRPr="00484E9C">
        <w:rPr>
          <w:rFonts w:eastAsia="Times New Roman"/>
          <w:bCs w:val="0"/>
          <w:szCs w:val="20"/>
        </w:rPr>
        <w:t xml:space="preserve"> entre los que también se encontraban el rey Juan Carlos I, el vocal del </w:t>
      </w:r>
      <w:hyperlink r:id="rId11" w:tooltip="Consejo General del Poder Judicial" w:history="1">
        <w:r w:rsidRPr="00484E9C">
          <w:rPr>
            <w:rFonts w:eastAsia="Times New Roman"/>
            <w:bCs w:val="0"/>
            <w:color w:val="0000FF"/>
            <w:szCs w:val="20"/>
            <w:u w:val="single"/>
          </w:rPr>
          <w:t>CGPJ</w:t>
        </w:r>
      </w:hyperlink>
      <w:r w:rsidRPr="00484E9C">
        <w:rPr>
          <w:rFonts w:eastAsia="Times New Roman"/>
          <w:bCs w:val="0"/>
          <w:szCs w:val="20"/>
        </w:rPr>
        <w:t xml:space="preserve"> </w:t>
      </w:r>
      <w:hyperlink r:id="rId12" w:tooltip="Pablo Castellano Cardalliaguet" w:history="1">
        <w:r w:rsidRPr="00484E9C">
          <w:rPr>
            <w:rFonts w:eastAsia="Times New Roman"/>
            <w:bCs w:val="0"/>
            <w:color w:val="0000FF"/>
            <w:szCs w:val="20"/>
            <w:u w:val="single"/>
          </w:rPr>
          <w:t>Pablo Castellano</w:t>
        </w:r>
      </w:hyperlink>
      <w:r w:rsidRPr="00484E9C">
        <w:rPr>
          <w:rFonts w:eastAsia="Times New Roman"/>
          <w:bCs w:val="0"/>
          <w:szCs w:val="20"/>
        </w:rPr>
        <w:t xml:space="preserve">, el presidente del </w:t>
      </w:r>
      <w:hyperlink r:id="rId13" w:tooltip="Real Madrid" w:history="1">
        <w:r w:rsidRPr="00484E9C">
          <w:rPr>
            <w:rFonts w:eastAsia="Times New Roman"/>
            <w:bCs w:val="0"/>
            <w:color w:val="0000FF"/>
            <w:szCs w:val="20"/>
            <w:u w:val="single"/>
          </w:rPr>
          <w:t>Real Madrid</w:t>
        </w:r>
      </w:hyperlink>
      <w:r w:rsidRPr="00484E9C">
        <w:rPr>
          <w:rFonts w:eastAsia="Times New Roman"/>
          <w:bCs w:val="0"/>
          <w:szCs w:val="20"/>
        </w:rPr>
        <w:t xml:space="preserve"> </w:t>
      </w:r>
      <w:hyperlink r:id="rId14" w:tooltip="Ramón Mendoza" w:history="1">
        <w:r w:rsidRPr="00484E9C">
          <w:rPr>
            <w:rFonts w:eastAsia="Times New Roman"/>
            <w:bCs w:val="0"/>
            <w:color w:val="0000FF"/>
            <w:szCs w:val="20"/>
            <w:u w:val="single"/>
          </w:rPr>
          <w:t>Ramón Mendoza</w:t>
        </w:r>
      </w:hyperlink>
      <w:r w:rsidRPr="00484E9C">
        <w:rPr>
          <w:rFonts w:eastAsia="Times New Roman"/>
          <w:bCs w:val="0"/>
          <w:szCs w:val="20"/>
        </w:rPr>
        <w:t xml:space="preserve">, el empresario </w:t>
      </w:r>
      <w:hyperlink r:id="rId15" w:tooltip="José María Ruiz Mateos" w:history="1">
        <w:r w:rsidRPr="00484E9C">
          <w:rPr>
            <w:rFonts w:eastAsia="Times New Roman"/>
            <w:bCs w:val="0"/>
            <w:color w:val="0000FF"/>
            <w:szCs w:val="20"/>
            <w:u w:val="single"/>
          </w:rPr>
          <w:t>José María Ruiz Mateos</w:t>
        </w:r>
      </w:hyperlink>
      <w:r w:rsidRPr="00484E9C">
        <w:rPr>
          <w:rFonts w:eastAsia="Times New Roman"/>
          <w:bCs w:val="0"/>
          <w:szCs w:val="20"/>
        </w:rPr>
        <w:t xml:space="preserve">, el director de </w:t>
      </w:r>
      <w:hyperlink r:id="rId16" w:tooltip="ABC (periódico)" w:history="1">
        <w:r w:rsidRPr="00484E9C">
          <w:rPr>
            <w:rFonts w:eastAsia="Times New Roman"/>
            <w:bCs w:val="0"/>
            <w:i/>
            <w:iCs/>
            <w:color w:val="0000FF"/>
            <w:szCs w:val="20"/>
            <w:u w:val="single"/>
          </w:rPr>
          <w:t>ABC</w:t>
        </w:r>
      </w:hyperlink>
      <w:r w:rsidRPr="00484E9C">
        <w:rPr>
          <w:rFonts w:eastAsia="Times New Roman"/>
          <w:bCs w:val="0"/>
          <w:szCs w:val="20"/>
        </w:rPr>
        <w:t xml:space="preserve"> </w:t>
      </w:r>
      <w:hyperlink r:id="rId17" w:tooltip="Luis María Anson" w:history="1">
        <w:r w:rsidRPr="00484E9C">
          <w:rPr>
            <w:rFonts w:eastAsia="Times New Roman"/>
            <w:bCs w:val="0"/>
            <w:color w:val="0000FF"/>
            <w:szCs w:val="20"/>
            <w:u w:val="single"/>
          </w:rPr>
          <w:t xml:space="preserve">Luis María </w:t>
        </w:r>
        <w:proofErr w:type="spellStart"/>
        <w:r w:rsidRPr="00484E9C">
          <w:rPr>
            <w:rFonts w:eastAsia="Times New Roman"/>
            <w:bCs w:val="0"/>
            <w:color w:val="0000FF"/>
            <w:szCs w:val="20"/>
            <w:u w:val="single"/>
          </w:rPr>
          <w:t>Ansón</w:t>
        </w:r>
        <w:proofErr w:type="spellEnd"/>
      </w:hyperlink>
      <w:r w:rsidRPr="00484E9C">
        <w:rPr>
          <w:rFonts w:eastAsia="Times New Roman"/>
          <w:bCs w:val="0"/>
          <w:szCs w:val="20"/>
        </w:rPr>
        <w:t xml:space="preserve">, el director de </w:t>
      </w:r>
      <w:hyperlink r:id="rId18" w:tooltip="El Mundo (España)" w:history="1">
        <w:r w:rsidRPr="00484E9C">
          <w:rPr>
            <w:rFonts w:eastAsia="Times New Roman"/>
            <w:bCs w:val="0"/>
            <w:i/>
            <w:iCs/>
            <w:color w:val="0000FF"/>
            <w:szCs w:val="20"/>
            <w:u w:val="single"/>
          </w:rPr>
          <w:t>El Mundo</w:t>
        </w:r>
      </w:hyperlink>
      <w:r w:rsidRPr="00484E9C">
        <w:rPr>
          <w:rFonts w:eastAsia="Times New Roman"/>
          <w:bCs w:val="0"/>
          <w:szCs w:val="20"/>
        </w:rPr>
        <w:t xml:space="preserve"> </w:t>
      </w:r>
      <w:hyperlink r:id="rId19" w:tooltip="Pedro J. Ramírez" w:history="1">
        <w:r w:rsidRPr="00484E9C">
          <w:rPr>
            <w:rFonts w:eastAsia="Times New Roman"/>
            <w:bCs w:val="0"/>
            <w:color w:val="0000FF"/>
            <w:szCs w:val="20"/>
            <w:u w:val="single"/>
          </w:rPr>
          <w:t>Pedro J. Ramírez</w:t>
        </w:r>
      </w:hyperlink>
      <w:r w:rsidRPr="00484E9C">
        <w:rPr>
          <w:rFonts w:eastAsia="Times New Roman"/>
          <w:bCs w:val="0"/>
          <w:szCs w:val="20"/>
        </w:rPr>
        <w:t xml:space="preserve">, el </w:t>
      </w:r>
      <w:hyperlink r:id="rId20" w:tooltip="Ministro de Asuntos Exteriores" w:history="1">
        <w:r w:rsidRPr="00484E9C">
          <w:rPr>
            <w:rFonts w:eastAsia="Times New Roman"/>
            <w:bCs w:val="0"/>
            <w:color w:val="0000FF"/>
            <w:szCs w:val="20"/>
            <w:u w:val="single"/>
          </w:rPr>
          <w:t>ministro de Asuntos Exteriores</w:t>
        </w:r>
      </w:hyperlink>
      <w:r w:rsidRPr="00484E9C">
        <w:rPr>
          <w:rFonts w:eastAsia="Times New Roman"/>
          <w:bCs w:val="0"/>
          <w:szCs w:val="20"/>
        </w:rPr>
        <w:t xml:space="preserve"> </w:t>
      </w:r>
      <w:hyperlink r:id="rId21" w:tooltip="Francisco Fernández Ordóñez" w:history="1">
        <w:r w:rsidRPr="00484E9C">
          <w:rPr>
            <w:rFonts w:eastAsia="Times New Roman"/>
            <w:bCs w:val="0"/>
            <w:color w:val="0000FF"/>
            <w:szCs w:val="20"/>
            <w:u w:val="single"/>
          </w:rPr>
          <w:t>Francisco Fernández Ordóñez</w:t>
        </w:r>
      </w:hyperlink>
      <w:r w:rsidRPr="00484E9C">
        <w:rPr>
          <w:rFonts w:eastAsia="Times New Roman"/>
          <w:bCs w:val="0"/>
          <w:szCs w:val="20"/>
        </w:rPr>
        <w:t xml:space="preserve">, el </w:t>
      </w:r>
      <w:hyperlink r:id="rId22" w:tooltip="Ministerio del Interior (España)" w:history="1">
        <w:r w:rsidRPr="00484E9C">
          <w:rPr>
            <w:rFonts w:eastAsia="Times New Roman"/>
            <w:bCs w:val="0"/>
            <w:color w:val="0000FF"/>
            <w:szCs w:val="20"/>
            <w:u w:val="single"/>
          </w:rPr>
          <w:t>ministro de Interior</w:t>
        </w:r>
      </w:hyperlink>
      <w:r w:rsidRPr="00484E9C">
        <w:rPr>
          <w:rFonts w:eastAsia="Times New Roman"/>
          <w:bCs w:val="0"/>
          <w:szCs w:val="20"/>
        </w:rPr>
        <w:t xml:space="preserve"> </w:t>
      </w:r>
      <w:hyperlink r:id="rId23" w:tooltip="José Barrionuevo Peña" w:history="1">
        <w:r w:rsidRPr="00484E9C">
          <w:rPr>
            <w:rFonts w:eastAsia="Times New Roman"/>
            <w:bCs w:val="0"/>
            <w:color w:val="0000FF"/>
            <w:szCs w:val="20"/>
            <w:u w:val="single"/>
          </w:rPr>
          <w:t>José Barrionuevo</w:t>
        </w:r>
      </w:hyperlink>
      <w:r w:rsidRPr="00484E9C">
        <w:rPr>
          <w:rFonts w:eastAsia="Times New Roman"/>
          <w:bCs w:val="0"/>
          <w:szCs w:val="20"/>
        </w:rPr>
        <w:t xml:space="preserve"> y el parlamentario del </w:t>
      </w:r>
      <w:hyperlink r:id="rId24" w:tooltip="Partido Socialista Obrero Español" w:history="1">
        <w:r w:rsidRPr="00484E9C">
          <w:rPr>
            <w:rFonts w:eastAsia="Times New Roman"/>
            <w:bCs w:val="0"/>
            <w:color w:val="0000FF"/>
            <w:szCs w:val="20"/>
            <w:u w:val="single"/>
          </w:rPr>
          <w:t>PSOE</w:t>
        </w:r>
      </w:hyperlink>
      <w:r w:rsidRPr="00484E9C">
        <w:rPr>
          <w:rFonts w:eastAsia="Times New Roman"/>
          <w:bCs w:val="0"/>
          <w:szCs w:val="20"/>
        </w:rPr>
        <w:t xml:space="preserve"> </w:t>
      </w:r>
      <w:hyperlink r:id="rId25" w:tooltip="Enrique Múgica" w:history="1">
        <w:r w:rsidRPr="00484E9C">
          <w:rPr>
            <w:rFonts w:eastAsia="Times New Roman"/>
            <w:bCs w:val="0"/>
            <w:color w:val="0000FF"/>
            <w:szCs w:val="20"/>
            <w:u w:val="single"/>
          </w:rPr>
          <w:t>Enrique Múgica</w:t>
        </w:r>
      </w:hyperlink>
      <w:r w:rsidRPr="00484E9C">
        <w:rPr>
          <w:rFonts w:eastAsia="Times New Roman"/>
          <w:bCs w:val="0"/>
          <w:szCs w:val="20"/>
        </w:rPr>
        <w:t>. Las escuchas realizadas se centraban en temas relacionados con operaciones empresariales, políticas, judiciales, periodísticas e internacionales.</w:t>
      </w:r>
      <w:hyperlink r:id="rId26" w:anchor="cite_note-172" w:history="1">
        <w:r w:rsidRPr="00484E9C">
          <w:rPr>
            <w:rFonts w:eastAsia="Times New Roman"/>
            <w:bCs w:val="0"/>
            <w:color w:val="0000FF"/>
            <w:szCs w:val="20"/>
            <w:u w:val="single"/>
            <w:vertAlign w:val="superscript"/>
          </w:rPr>
          <w:t>172</w:t>
        </w:r>
      </w:hyperlink>
      <w:r w:rsidRPr="00484E9C">
        <w:rPr>
          <w:rFonts w:ascii="Times New Roman" w:eastAsia="Times New Roman" w:hAnsi="Times New Roman"/>
          <w:bCs w:val="0"/>
          <w:szCs w:val="20"/>
        </w:rPr>
        <w:t>​</w:t>
      </w:r>
      <w:r w:rsidRPr="00484E9C">
        <w:rPr>
          <w:rFonts w:eastAsia="Times New Roman"/>
          <w:bCs w:val="0"/>
          <w:szCs w:val="20"/>
        </w:rPr>
        <w:t xml:space="preserve"> </w:t>
      </w:r>
    </w:p>
    <w:p w:rsidR="00484E9C" w:rsidRPr="00484E9C" w:rsidRDefault="00484E9C" w:rsidP="00484E9C">
      <w:pPr>
        <w:rPr>
          <w:rFonts w:eastAsia="Times New Roman"/>
          <w:bCs w:val="0"/>
          <w:szCs w:val="20"/>
        </w:rPr>
      </w:pPr>
      <w:r w:rsidRPr="00484E9C">
        <w:rPr>
          <w:rFonts w:eastAsia="Times New Roman"/>
          <w:bCs w:val="0"/>
          <w:szCs w:val="20"/>
        </w:rPr>
        <w:t xml:space="preserve">Durante la celebración del juicio por este caso, que tuvo lugar en 1999, García-Trevijano fue llamado al mismo como testigo, declarando ante el tribunal: </w:t>
      </w:r>
    </w:p>
    <w:p w:rsidR="00484E9C" w:rsidRPr="00484E9C" w:rsidRDefault="00484E9C" w:rsidP="00484E9C">
      <w:pPr>
        <w:rPr>
          <w:rFonts w:eastAsia="Times New Roman"/>
          <w:bCs w:val="0"/>
          <w:szCs w:val="20"/>
        </w:rPr>
      </w:pPr>
      <w:r w:rsidRPr="00484E9C">
        <w:rPr>
          <w:rFonts w:eastAsia="Times New Roman"/>
          <w:bCs w:val="0"/>
          <w:szCs w:val="20"/>
        </w:rPr>
        <w:t>"Nunca he tenido teléfono móvil, siempre fijo. He hablado con amigos que lo tenían, pero desde mi teléfono fijo. Cuando me llaman desde un móvil, mi secretaria tiene la orden de decir que me llamen por un fijo. Tenía la certeza y evidencias de que mi teléfono había sido intervenido durante años. (...) [No lo denuncié] porque no tengo ninguna confianza en el sistema de garantías para el ciudadano que existe en este país."</w:t>
      </w:r>
      <w:hyperlink r:id="rId27" w:anchor="cite_note-173" w:history="1">
        <w:r w:rsidRPr="00484E9C">
          <w:rPr>
            <w:rFonts w:eastAsia="Times New Roman"/>
            <w:bCs w:val="0"/>
            <w:color w:val="0000FF"/>
            <w:szCs w:val="20"/>
            <w:u w:val="single"/>
            <w:vertAlign w:val="superscript"/>
          </w:rPr>
          <w:t>173</w:t>
        </w:r>
      </w:hyperlink>
      <w:r w:rsidRPr="00484E9C">
        <w:rPr>
          <w:rFonts w:ascii="Times New Roman" w:eastAsia="Times New Roman" w:hAnsi="Times New Roman"/>
          <w:bCs w:val="0"/>
          <w:szCs w:val="20"/>
        </w:rPr>
        <w:t>​</w:t>
      </w:r>
      <w:hyperlink r:id="rId28" w:anchor="cite_note-Sentencia_nº_227-174" w:history="1">
        <w:r w:rsidRPr="00484E9C">
          <w:rPr>
            <w:rFonts w:eastAsia="Times New Roman"/>
            <w:bCs w:val="0"/>
            <w:color w:val="0000FF"/>
            <w:szCs w:val="20"/>
            <w:u w:val="single"/>
            <w:vertAlign w:val="superscript"/>
          </w:rPr>
          <w:t>174</w:t>
        </w:r>
      </w:hyperlink>
      <w:r w:rsidRPr="00484E9C">
        <w:rPr>
          <w:rFonts w:ascii="Times New Roman" w:eastAsia="Times New Roman" w:hAnsi="Times New Roman"/>
          <w:bCs w:val="0"/>
          <w:szCs w:val="20"/>
        </w:rPr>
        <w:t>​</w:t>
      </w:r>
    </w:p>
    <w:p w:rsidR="00484E9C" w:rsidRPr="00484E9C" w:rsidRDefault="00484E9C" w:rsidP="00484E9C">
      <w:pPr>
        <w:rPr>
          <w:rFonts w:eastAsia="Times New Roman"/>
          <w:bCs w:val="0"/>
          <w:szCs w:val="20"/>
        </w:rPr>
      </w:pPr>
      <w:r w:rsidRPr="00484E9C">
        <w:rPr>
          <w:rFonts w:eastAsia="Times New Roman"/>
          <w:bCs w:val="0"/>
          <w:szCs w:val="20"/>
        </w:rPr>
        <w:t xml:space="preserve">La sentencia dictada por el juez que instruyó el caso (posteriormente anulada por el </w:t>
      </w:r>
      <w:hyperlink r:id="rId29" w:tooltip="Tribunal Constitucional" w:history="1">
        <w:r w:rsidRPr="00484E9C">
          <w:rPr>
            <w:rFonts w:eastAsia="Times New Roman"/>
            <w:bCs w:val="0"/>
            <w:color w:val="0000FF"/>
            <w:szCs w:val="20"/>
            <w:u w:val="single"/>
          </w:rPr>
          <w:t>Tribunal Constitucional</w:t>
        </w:r>
      </w:hyperlink>
      <w:r w:rsidRPr="00484E9C">
        <w:rPr>
          <w:rFonts w:eastAsia="Times New Roman"/>
          <w:bCs w:val="0"/>
          <w:szCs w:val="20"/>
        </w:rPr>
        <w:t xml:space="preserve">) ordenaba que todos los afectados por las escuchas ilegales fueran indemnizados con un millón de pesetas, a excepción de García-Trevijano, que, a pesar de que constaba en los documentos intervenidos como individuo espiado, y habiendo declarado que tenía la certeza de que su teléfono había sido </w:t>
      </w:r>
      <w:r w:rsidRPr="00484E9C">
        <w:rPr>
          <w:rFonts w:eastAsia="Times New Roman"/>
          <w:bCs w:val="0"/>
          <w:i/>
          <w:iCs/>
          <w:szCs w:val="20"/>
        </w:rPr>
        <w:t>pinchado</w:t>
      </w:r>
      <w:r w:rsidRPr="00484E9C">
        <w:rPr>
          <w:rFonts w:eastAsia="Times New Roman"/>
          <w:bCs w:val="0"/>
          <w:szCs w:val="20"/>
        </w:rPr>
        <w:t>, fue excluido de recibir dicha cantidad por entender el tribunal que no quedaba claro "que el teléfono interceptado hubiera sido realmente el de Antonio García-Trevijano Forte", ya que el espiado podría haber sido un hijo del abogado, muy popular en los medios de comunicación por su trayectoria en el deporte de la hípica.</w:t>
      </w:r>
      <w:hyperlink r:id="rId30" w:anchor="cite_note-Sentencia_nº_227-174" w:history="1">
        <w:r w:rsidRPr="00484E9C">
          <w:rPr>
            <w:rFonts w:eastAsia="Times New Roman"/>
            <w:bCs w:val="0"/>
            <w:color w:val="0000FF"/>
            <w:szCs w:val="20"/>
            <w:u w:val="single"/>
            <w:vertAlign w:val="superscript"/>
          </w:rPr>
          <w:t>174</w:t>
        </w:r>
      </w:hyperlink>
      <w:r w:rsidRPr="00484E9C">
        <w:rPr>
          <w:rFonts w:ascii="Times New Roman" w:eastAsia="Times New Roman" w:hAnsi="Times New Roman"/>
          <w:bCs w:val="0"/>
          <w:szCs w:val="20"/>
        </w:rPr>
        <w:t>​</w:t>
      </w:r>
      <w:r w:rsidRPr="00484E9C">
        <w:rPr>
          <w:rFonts w:eastAsia="Times New Roman"/>
          <w:bCs w:val="0"/>
          <w:szCs w:val="20"/>
        </w:rPr>
        <w:t xml:space="preserve"> </w:t>
      </w:r>
    </w:p>
    <w:p w:rsidR="004D67CE" w:rsidRPr="00484E9C" w:rsidRDefault="004D67CE" w:rsidP="00484E9C">
      <w:pPr>
        <w:rPr>
          <w:szCs w:val="20"/>
        </w:rPr>
      </w:pPr>
    </w:p>
    <w:sectPr w:rsidR="004D67CE" w:rsidRPr="00484E9C"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484E9C"/>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2FB"/>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3F6A"/>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403"/>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6A9"/>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68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B7FAB"/>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67E"/>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E9C"/>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ADE"/>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ED0"/>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637"/>
    <w:rsid w:val="00AB6807"/>
    <w:rsid w:val="00AB68BD"/>
    <w:rsid w:val="00AB68C1"/>
    <w:rsid w:val="00AB6A84"/>
    <w:rsid w:val="00AB6D9C"/>
    <w:rsid w:val="00AB6EA7"/>
    <w:rsid w:val="00AB71C4"/>
    <w:rsid w:val="00AB7973"/>
    <w:rsid w:val="00AB797B"/>
    <w:rsid w:val="00AB7C43"/>
    <w:rsid w:val="00AB7E59"/>
    <w:rsid w:val="00AC004E"/>
    <w:rsid w:val="00AC01F2"/>
    <w:rsid w:val="00AC07A4"/>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03A"/>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5865"/>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5FD"/>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199"/>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mw-headline">
    <w:name w:val="mw-headline"/>
    <w:basedOn w:val="Fuentedeprrafopredeter"/>
    <w:rsid w:val="00484E9C"/>
  </w:style>
  <w:style w:type="paragraph" w:styleId="NormalWeb">
    <w:name w:val="Normal (Web)"/>
    <w:basedOn w:val="Normal"/>
    <w:uiPriority w:val="99"/>
    <w:semiHidden/>
    <w:unhideWhenUsed/>
    <w:rsid w:val="00484E9C"/>
    <w:pPr>
      <w:spacing w:before="100" w:beforeAutospacing="1" w:after="100" w:afterAutospacing="1" w:line="240" w:lineRule="auto"/>
      <w:jc w:val="left"/>
    </w:pPr>
    <w:rPr>
      <w:rFonts w:ascii="Times New Roman" w:eastAsia="Times New Roman" w:hAnsi="Times New Roman"/>
      <w:bCs w:val="0"/>
      <w:sz w:val="24"/>
      <w:szCs w:val="24"/>
    </w:rPr>
  </w:style>
  <w:style w:type="character" w:styleId="Hipervnculo">
    <w:name w:val="Hyperlink"/>
    <w:basedOn w:val="Fuentedeprrafopredeter"/>
    <w:uiPriority w:val="99"/>
    <w:semiHidden/>
    <w:unhideWhenUsed/>
    <w:rsid w:val="00484E9C"/>
    <w:rPr>
      <w:color w:val="0000FF"/>
      <w:u w:val="single"/>
    </w:rPr>
  </w:style>
</w:styles>
</file>

<file path=word/webSettings.xml><?xml version="1.0" encoding="utf-8"?>
<w:webSettings xmlns:r="http://schemas.openxmlformats.org/officeDocument/2006/relationships" xmlns:w="http://schemas.openxmlformats.org/wordprocessingml/2006/main">
  <w:divs>
    <w:div w:id="1013264564">
      <w:bodyDiv w:val="1"/>
      <w:marLeft w:val="0"/>
      <w:marRight w:val="0"/>
      <w:marTop w:val="0"/>
      <w:marBottom w:val="0"/>
      <w:divBdr>
        <w:top w:val="none" w:sz="0" w:space="0" w:color="auto"/>
        <w:left w:val="none" w:sz="0" w:space="0" w:color="auto"/>
        <w:bottom w:val="none" w:sz="0" w:space="0" w:color="auto"/>
        <w:right w:val="none" w:sz="0" w:space="0" w:color="auto"/>
      </w:divBdr>
      <w:divsChild>
        <w:div w:id="1973095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08585">
              <w:marLeft w:val="0"/>
              <w:marRight w:val="0"/>
              <w:marTop w:val="0"/>
              <w:marBottom w:val="0"/>
              <w:divBdr>
                <w:top w:val="none" w:sz="0" w:space="0" w:color="auto"/>
                <w:left w:val="none" w:sz="0" w:space="0" w:color="auto"/>
                <w:bottom w:val="none" w:sz="0" w:space="0" w:color="auto"/>
                <w:right w:val="none" w:sz="0" w:space="0" w:color="auto"/>
              </w:divBdr>
              <w:divsChild>
                <w:div w:id="863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iscal_General_del_Estado_(Espa%C3%B1a)" TargetMode="External"/><Relationship Id="rId13" Type="http://schemas.openxmlformats.org/officeDocument/2006/relationships/hyperlink" Target="https://es.wikipedia.org/wiki/Real_Madrid" TargetMode="External"/><Relationship Id="rId18" Type="http://schemas.openxmlformats.org/officeDocument/2006/relationships/hyperlink" Target="https://es.wikipedia.org/wiki/El_Mundo_(Espa%C3%B1a)" TargetMode="External"/><Relationship Id="rId26" Type="http://schemas.openxmlformats.org/officeDocument/2006/relationships/hyperlink" Target="https://es.wikipedia.org/wiki/Antonio_Garc%C3%ADa-Trevijano" TargetMode="External"/><Relationship Id="rId3" Type="http://schemas.openxmlformats.org/officeDocument/2006/relationships/webSettings" Target="webSettings.xml"/><Relationship Id="rId21" Type="http://schemas.openxmlformats.org/officeDocument/2006/relationships/hyperlink" Target="https://es.wikipedia.org/wiki/Francisco_Fern%C3%A1ndez_Ord%C3%B3%C3%B1ez" TargetMode="External"/><Relationship Id="rId7" Type="http://schemas.openxmlformats.org/officeDocument/2006/relationships/hyperlink" Target="https://es.wikipedia.org/wiki/Antonio_Garc%C3%ADa-Trevijano" TargetMode="External"/><Relationship Id="rId12" Type="http://schemas.openxmlformats.org/officeDocument/2006/relationships/hyperlink" Target="https://es.wikipedia.org/wiki/Pablo_Castellano_Cardalliaguet" TargetMode="External"/><Relationship Id="rId17" Type="http://schemas.openxmlformats.org/officeDocument/2006/relationships/hyperlink" Target="https://es.wikipedia.org/wiki/Luis_Mar%C3%ADa_Anson" TargetMode="External"/><Relationship Id="rId25" Type="http://schemas.openxmlformats.org/officeDocument/2006/relationships/hyperlink" Target="https://es.wikipedia.org/wiki/Enrique_M%C3%BAgica" TargetMode="External"/><Relationship Id="rId2" Type="http://schemas.openxmlformats.org/officeDocument/2006/relationships/settings" Target="settings.xml"/><Relationship Id="rId16" Type="http://schemas.openxmlformats.org/officeDocument/2006/relationships/hyperlink" Target="https://es.wikipedia.org/wiki/ABC_(peri%C3%B3dico)" TargetMode="External"/><Relationship Id="rId20" Type="http://schemas.openxmlformats.org/officeDocument/2006/relationships/hyperlink" Target="https://es.wikipedia.org/wiki/Ministro_de_Asuntos_Exteriores" TargetMode="External"/><Relationship Id="rId29" Type="http://schemas.openxmlformats.org/officeDocument/2006/relationships/hyperlink" Target="https://es.wikipedia.org/wiki/Tribunal_Constitucional" TargetMode="External"/><Relationship Id="rId1" Type="http://schemas.openxmlformats.org/officeDocument/2006/relationships/styles" Target="styles.xml"/><Relationship Id="rId6" Type="http://schemas.openxmlformats.org/officeDocument/2006/relationships/hyperlink" Target="https://es.wikipedia.org/wiki/CESID" TargetMode="External"/><Relationship Id="rId11" Type="http://schemas.openxmlformats.org/officeDocument/2006/relationships/hyperlink" Target="https://es.wikipedia.org/wiki/Consejo_General_del_Poder_Judicial" TargetMode="External"/><Relationship Id="rId24" Type="http://schemas.openxmlformats.org/officeDocument/2006/relationships/hyperlink" Target="https://es.wikipedia.org/wiki/Partido_Socialista_Obrero_Espa%C3%B1ol" TargetMode="External"/><Relationship Id="rId32" Type="http://schemas.openxmlformats.org/officeDocument/2006/relationships/theme" Target="theme/theme1.xml"/><Relationship Id="rId5" Type="http://schemas.openxmlformats.org/officeDocument/2006/relationships/hyperlink" Target="https://es.wikipedia.org/wiki/Servicio_de_inteligencia" TargetMode="External"/><Relationship Id="rId15" Type="http://schemas.openxmlformats.org/officeDocument/2006/relationships/hyperlink" Target="https://es.wikipedia.org/wiki/Jos%C3%A9_Mar%C3%ADa_Ruiz_Mateos" TargetMode="External"/><Relationship Id="rId23" Type="http://schemas.openxmlformats.org/officeDocument/2006/relationships/hyperlink" Target="https://es.wikipedia.org/wiki/Jos%C3%A9_Barrionuevo_Pe%C3%B1a" TargetMode="External"/><Relationship Id="rId28" Type="http://schemas.openxmlformats.org/officeDocument/2006/relationships/hyperlink" Target="https://es.wikipedia.org/wiki/Antonio_Garc%C3%ADa-Trevijano" TargetMode="External"/><Relationship Id="rId10" Type="http://schemas.openxmlformats.org/officeDocument/2006/relationships/hyperlink" Target="https://es.wikipedia.org/wiki/Antonio_Garc%C3%ADa-Trevijano" TargetMode="External"/><Relationship Id="rId19" Type="http://schemas.openxmlformats.org/officeDocument/2006/relationships/hyperlink" Target="https://es.wikipedia.org/wiki/Pedro_J._Ram%C3%ADrez" TargetMode="External"/><Relationship Id="rId31" Type="http://schemas.openxmlformats.org/officeDocument/2006/relationships/fontTable" Target="fontTable.xml"/><Relationship Id="rId4" Type="http://schemas.openxmlformats.org/officeDocument/2006/relationships/hyperlink" Target="https://es.wikipedia.org/wiki/El_Mundo_(Espa%C3%B1a)" TargetMode="External"/><Relationship Id="rId9" Type="http://schemas.openxmlformats.org/officeDocument/2006/relationships/hyperlink" Target="https://es.wikipedia.org/w/index.php?title=Caso_de_los_papeles_del_CESID&amp;action=edit&amp;redlink=1" TargetMode="External"/><Relationship Id="rId14" Type="http://schemas.openxmlformats.org/officeDocument/2006/relationships/hyperlink" Target="https://es.wikipedia.org/wiki/Ram%C3%B3n_Mendoza" TargetMode="External"/><Relationship Id="rId22" Type="http://schemas.openxmlformats.org/officeDocument/2006/relationships/hyperlink" Target="https://es.wikipedia.org/wiki/Ministerio_del_Interior_(Espa%C3%B1a)" TargetMode="External"/><Relationship Id="rId27" Type="http://schemas.openxmlformats.org/officeDocument/2006/relationships/hyperlink" Target="https://es.wikipedia.org/wiki/Antonio_Garc%C3%ADa-Trevijano" TargetMode="External"/><Relationship Id="rId30" Type="http://schemas.openxmlformats.org/officeDocument/2006/relationships/hyperlink" Target="https://es.wikipedia.org/wiki/Antonio_Garc%C3%AD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Words>
  <Characters>4413</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2023-05-22T18:19:00Z</dcterms:created>
  <dcterms:modified xsi:type="dcterms:W3CDTF">2023-05-22T18:20:00Z</dcterms:modified>
</cp:coreProperties>
</file>