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91" w:rsidRPr="00CC2291" w:rsidRDefault="00CC2291" w:rsidP="00CC2291">
      <w:pPr>
        <w:jc w:val="left"/>
        <w:textAlignment w:val="baseline"/>
        <w:outlineLvl w:val="0"/>
        <w:rPr>
          <w:rFonts w:eastAsia="Times New Roman" w:cs="Times New Roman"/>
          <w:b/>
          <w:bCs/>
          <w:color w:val="1A1A1A"/>
          <w:spacing w:val="-15"/>
          <w:kern w:val="36"/>
          <w:szCs w:val="20"/>
          <w:lang w:val="es-ES" w:eastAsia="es-ES"/>
        </w:rPr>
      </w:pPr>
      <w:r w:rsidRPr="00CC2291">
        <w:rPr>
          <w:rFonts w:eastAsia="Times New Roman" w:cs="Times New Roman"/>
          <w:b/>
          <w:bCs/>
          <w:color w:val="1A1A1A"/>
          <w:spacing w:val="-15"/>
          <w:kern w:val="36"/>
          <w:szCs w:val="20"/>
          <w:lang w:val="es-ES" w:eastAsia="es-ES"/>
        </w:rPr>
        <w:t>INFIERNO FISCAL: SUELDO 24.400 EUROS, IMPUESTOS 15.706</w:t>
      </w:r>
    </w:p>
    <w:p w:rsidR="00CC2291" w:rsidRPr="00CC2291" w:rsidRDefault="00CC2291" w:rsidP="00CC2291">
      <w:pPr>
        <w:jc w:val="left"/>
        <w:textAlignment w:val="baseline"/>
        <w:rPr>
          <w:rFonts w:eastAsia="Times New Roman" w:cs="Arial"/>
          <w:caps/>
          <w:szCs w:val="20"/>
          <w:lang w:val="es-ES" w:eastAsia="es-ES"/>
        </w:rPr>
      </w:pPr>
      <w:hyperlink r:id="rId5" w:tooltip="Noticias de Roberto Centeno" w:history="1">
        <w:r w:rsidRPr="00CC2291">
          <w:rPr>
            <w:rFonts w:eastAsia="Times New Roman" w:cs="Arial"/>
            <w:bCs/>
            <w:caps/>
            <w:szCs w:val="20"/>
            <w:lang w:val="es-ES" w:eastAsia="es-ES"/>
          </w:rPr>
          <w:t>ROBERTO CENTENO</w:t>
        </w:r>
      </w:hyperlink>
    </w:p>
    <w:p w:rsidR="00CC2291" w:rsidRPr="00CC2291" w:rsidRDefault="00CC2291" w:rsidP="00CC2291">
      <w:pPr>
        <w:jc w:val="left"/>
        <w:textAlignment w:val="baseline"/>
        <w:rPr>
          <w:rFonts w:eastAsia="Times New Roman" w:cs="Arial"/>
          <w:szCs w:val="20"/>
          <w:lang w:val="es-ES" w:eastAsia="es-ES"/>
        </w:rPr>
      </w:pPr>
      <w:r w:rsidRPr="00CC2291">
        <w:rPr>
          <w:rFonts w:eastAsia="Times New Roman" w:cs="Arial"/>
          <w:bCs/>
          <w:szCs w:val="20"/>
          <w:lang w:val="es-ES" w:eastAsia="es-ES"/>
        </w:rPr>
        <w:t>EL CONFIDENCIAL. 30/05/2016</w:t>
      </w:r>
    </w:p>
    <w:p w:rsidR="00CC2291" w:rsidRPr="00CC2291" w:rsidRDefault="00CC2291" w:rsidP="00CC2291">
      <w:pPr>
        <w:jc w:val="left"/>
        <w:textAlignment w:val="baseline"/>
        <w:rPr>
          <w:rFonts w:eastAsia="Times New Roman" w:cs="Arial"/>
          <w:color w:val="1A1A1A"/>
          <w:sz w:val="13"/>
          <w:szCs w:val="13"/>
          <w:lang w:val="es-ES" w:eastAsia="es-ES"/>
        </w:rPr>
      </w:pPr>
      <w:r w:rsidRPr="00CC2291">
        <w:rPr>
          <w:rFonts w:eastAsia="Times New Roman" w:cs="Arial"/>
          <w:color w:val="1A1A1A"/>
          <w:sz w:val="13"/>
          <w:szCs w:val="13"/>
          <w:lang w:val="es-ES" w:eastAsia="es-ES"/>
        </w:rPr>
        <w:t>https://blogs.elconfidencial.com/economia/el-disparate-economico/2016-05-30/infierno-fiscal-sueldo-24-400-euros-impuestos-15-706_1208243/</w:t>
      </w:r>
    </w:p>
    <w:p w:rsidR="00CC2291" w:rsidRDefault="00CC2291" w:rsidP="00CC2291">
      <w:pPr>
        <w:jc w:val="left"/>
        <w:textAlignment w:val="baseline"/>
        <w:rPr>
          <w:rFonts w:eastAsia="Times New Roman" w:cs="Arial"/>
          <w:color w:val="1A1A1A"/>
          <w:szCs w:val="20"/>
          <w:lang w:val="es-ES" w:eastAsia="es-ES"/>
        </w:rPr>
      </w:pP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Aunque la mayoría no es consciente de ello, y el régimen mediático en connivencia con el político y la oligarquía financiera lo ocultan sistemáticamente, España es para la clase media y trabajadora </w:t>
      </w:r>
      <w:r w:rsidRPr="00CC2291">
        <w:rPr>
          <w:rFonts w:eastAsia="Times New Roman" w:cs="Arial"/>
          <w:b/>
          <w:bCs/>
          <w:color w:val="1A1A1A"/>
          <w:szCs w:val="20"/>
          <w:lang w:val="es-ES" w:eastAsia="es-ES"/>
        </w:rPr>
        <w:t>un auténtico infierno fiscal</w:t>
      </w:r>
      <w:r w:rsidRPr="00CC2291">
        <w:rPr>
          <w:rFonts w:eastAsia="Times New Roman" w:cs="Arial"/>
          <w:color w:val="1A1A1A"/>
          <w:szCs w:val="20"/>
          <w:lang w:val="es-ES" w:eastAsia="es-ES"/>
        </w:rPr>
        <w:t xml:space="preserve">, a la vez que un paraíso fiscal para las empresas del Ibex -pagan un 3% de media- y para las grandes fortunas -pagan un 1% vía </w:t>
      </w:r>
      <w:proofErr w:type="spellStart"/>
      <w:r w:rsidRPr="00CC2291">
        <w:rPr>
          <w:rFonts w:eastAsia="Times New Roman" w:cs="Arial"/>
          <w:color w:val="1A1A1A"/>
          <w:szCs w:val="20"/>
          <w:lang w:val="es-ES" w:eastAsia="es-ES"/>
        </w:rPr>
        <w:t>sicavs</w:t>
      </w:r>
      <w:proofErr w:type="spellEnd"/>
      <w:r w:rsidRPr="00CC2291">
        <w:rPr>
          <w:rFonts w:eastAsia="Times New Roman" w:cs="Arial"/>
          <w:color w:val="1A1A1A"/>
          <w:szCs w:val="20"/>
          <w:lang w:val="es-ES" w:eastAsia="es-ES"/>
        </w:rPr>
        <w:t>-. Pero no solo nos expolian a casi el máximo nivel de la </w:t>
      </w:r>
      <w:hyperlink r:id="rId6" w:tgtFrame="_self" w:history="1">
        <w:r w:rsidRPr="00CC2291">
          <w:rPr>
            <w:rFonts w:eastAsia="Times New Roman" w:cs="Arial"/>
            <w:b/>
            <w:bCs/>
            <w:color w:val="1187B8"/>
            <w:szCs w:val="20"/>
            <w:u w:val="single"/>
            <w:lang w:val="es-ES" w:eastAsia="es-ES"/>
          </w:rPr>
          <w:t>OCDE</w:t>
        </w:r>
      </w:hyperlink>
      <w:r w:rsidRPr="00CC2291">
        <w:rPr>
          <w:rFonts w:eastAsia="Times New Roman" w:cs="Arial"/>
          <w:color w:val="1A1A1A"/>
          <w:szCs w:val="20"/>
          <w:lang w:val="es-ES" w:eastAsia="es-ES"/>
        </w:rPr>
        <w:t>, es que nos cuentan que la presión fiscal o impuestos/PIB</w:t>
      </w:r>
      <w:r w:rsidRPr="00CC2291">
        <w:rPr>
          <w:rFonts w:eastAsia="Times New Roman" w:cs="Arial"/>
          <w:b/>
          <w:bCs/>
          <w:color w:val="1A1A1A"/>
          <w:szCs w:val="20"/>
          <w:lang w:val="es-ES" w:eastAsia="es-ES"/>
        </w:rPr>
        <w:t> está por debajo de la media del mundo desarrollado. </w:t>
      </w:r>
      <w:r w:rsidRPr="00CC2291">
        <w:rPr>
          <w:rFonts w:eastAsia="Times New Roman" w:cs="Arial"/>
          <w:color w:val="1A1A1A"/>
          <w:szCs w:val="20"/>
          <w:lang w:val="es-ES" w:eastAsia="es-ES"/>
        </w:rPr>
        <w:t>Esto es algo clamorosamente falso por la sencilla razón de que el PIB real es un </w:t>
      </w:r>
      <w:r w:rsidRPr="00CC2291">
        <w:rPr>
          <w:rFonts w:eastAsia="Times New Roman" w:cs="Arial"/>
          <w:b/>
          <w:bCs/>
          <w:color w:val="1A1A1A"/>
          <w:szCs w:val="20"/>
          <w:lang w:val="es-ES" w:eastAsia="es-ES"/>
        </w:rPr>
        <w:t>23,5% inferior al oficial,</w:t>
      </w:r>
      <w:r w:rsidRPr="00CC2291">
        <w:rPr>
          <w:rFonts w:eastAsia="Times New Roman" w:cs="Arial"/>
          <w:color w:val="1A1A1A"/>
          <w:szCs w:val="20"/>
          <w:lang w:val="es-ES" w:eastAsia="es-ES"/>
        </w:rPr>
        <w:t> algo que un grupo de economistas independientes vamos a demostrar el próximo día 16 en el B19 Country Club de Bruselas en una conferencia y rueda de prensa con la intención conseguir que la Comisión audite nuestra contabilidad nacional.</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Pero más allá de las grandes falsedades macroeconómicas está la realidad microeconómica de las familias: los españoles somos los ciudadanos de la OCDE </w:t>
      </w:r>
      <w:r w:rsidRPr="00CC2291">
        <w:rPr>
          <w:rFonts w:eastAsia="Times New Roman" w:cs="Arial"/>
          <w:b/>
          <w:bCs/>
          <w:color w:val="1A1A1A"/>
          <w:szCs w:val="20"/>
          <w:lang w:val="es-ES" w:eastAsia="es-ES"/>
        </w:rPr>
        <w:t>que más </w:t>
      </w:r>
      <w:hyperlink r:id="rId7" w:tgtFrame="_self" w:history="1">
        <w:r w:rsidRPr="00CC2291">
          <w:rPr>
            <w:rFonts w:eastAsia="Times New Roman" w:cs="Arial"/>
            <w:b/>
            <w:bCs/>
            <w:color w:val="1187B8"/>
            <w:szCs w:val="20"/>
            <w:u w:val="single"/>
            <w:lang w:val="es-ES" w:eastAsia="es-ES"/>
          </w:rPr>
          <w:t>salario real han perdido</w:t>
        </w:r>
      </w:hyperlink>
      <w:r w:rsidRPr="00CC2291">
        <w:rPr>
          <w:rFonts w:eastAsia="Times New Roman" w:cs="Arial"/>
          <w:color w:val="1A1A1A"/>
          <w:szCs w:val="20"/>
          <w:lang w:val="es-ES" w:eastAsia="es-ES"/>
        </w:rPr>
        <w:t>, un 25% desde 2007, mientras que en Alemania han ganado un 5% (1), y ha sufrido la mayor subida de impuestos de nuestra historia. Pero antes de entrar en la cifras, quiero recordar que el próximo día 26 de junio los españoles</w:t>
      </w:r>
      <w:r w:rsidRPr="00CC2291">
        <w:rPr>
          <w:rFonts w:eastAsia="Times New Roman" w:cs="Arial"/>
          <w:b/>
          <w:bCs/>
          <w:color w:val="1A1A1A"/>
          <w:szCs w:val="20"/>
          <w:lang w:val="es-ES" w:eastAsia="es-ES"/>
        </w:rPr>
        <w:t> estamos llamados a las urnas</w:t>
      </w:r>
      <w:r w:rsidRPr="00CC2291">
        <w:rPr>
          <w:rFonts w:eastAsia="Times New Roman" w:cs="Arial"/>
          <w:color w:val="1A1A1A"/>
          <w:szCs w:val="20"/>
          <w:lang w:val="es-ES" w:eastAsia="es-ES"/>
        </w:rPr>
        <w:t> no para elegir a nuestros representantes sino para refrendar una de las listas de partido cuyos componentes han sido colocados en ellas por los jefes de los mismos, no por los votantes. No representan pues a los electores ni a la sociedad civil, sino a una oligarquía política que ha suprimido la</w:t>
      </w:r>
      <w:r>
        <w:rPr>
          <w:rFonts w:eastAsia="Times New Roman" w:cs="Arial"/>
          <w:color w:val="1A1A1A"/>
          <w:szCs w:val="20"/>
          <w:lang w:val="es-ES" w:eastAsia="es-ES"/>
        </w:rPr>
        <w:t xml:space="preserve"> </w:t>
      </w:r>
      <w:r w:rsidRPr="00CC2291">
        <w:rPr>
          <w:rFonts w:eastAsia="Times New Roman" w:cs="Arial"/>
          <w:b/>
          <w:bCs/>
          <w:color w:val="1A1A1A"/>
          <w:szCs w:val="20"/>
          <w:lang w:val="es-ES" w:eastAsia="es-ES"/>
        </w:rPr>
        <w:t>representación política </w:t>
      </w:r>
      <w:r w:rsidRPr="00CC2291">
        <w:rPr>
          <w:rFonts w:eastAsia="Times New Roman" w:cs="Arial"/>
          <w:color w:val="1A1A1A"/>
          <w:szCs w:val="20"/>
          <w:lang w:val="es-ES" w:eastAsia="es-ES"/>
        </w:rPr>
        <w:t>de los gobernados.</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“No se vota a los representantes del pueblo o de la sociedad sino a meros delegados de los partidos estatales. Esta realidad que todos pueden ver sin emplear apenas la inteligencia, se tapa torpemente con impúdicos velos de propaganda democrática. Todos, gobernantes y gobernados, apuntalan</w:t>
      </w:r>
      <w:r w:rsidRPr="00CC2291">
        <w:rPr>
          <w:rFonts w:eastAsia="Times New Roman" w:cs="Arial"/>
          <w:b/>
          <w:bCs/>
          <w:color w:val="1A1A1A"/>
          <w:szCs w:val="20"/>
          <w:lang w:val="es-ES" w:eastAsia="es-ES"/>
        </w:rPr>
        <w:t> la colosal mentira de llamar legislativas a este colosal engaño; </w:t>
      </w:r>
      <w:r w:rsidRPr="00CC2291">
        <w:rPr>
          <w:rFonts w:eastAsia="Times New Roman" w:cs="Arial"/>
          <w:color w:val="1A1A1A"/>
          <w:szCs w:val="20"/>
          <w:lang w:val="es-ES" w:eastAsia="es-ES"/>
        </w:rPr>
        <w:t>de llamar representantes del pueblo a simples delegados de partidos; de llamar separación de poderes a la mera separación de funciones públicas entre personas de una misma obediencia de partido; de llamar democracia representativa a esta degenerada oligarquía estatal”(2). </w:t>
      </w:r>
      <w:r w:rsidRPr="00CC2291">
        <w:rPr>
          <w:rFonts w:eastAsia="Times New Roman" w:cs="Arial"/>
          <w:b/>
          <w:bCs/>
          <w:color w:val="1A1A1A"/>
          <w:szCs w:val="20"/>
          <w:lang w:val="es-ES" w:eastAsia="es-ES"/>
        </w:rPr>
        <w:t>Más de 200 diputados tienen asegurado el escaño </w:t>
      </w:r>
      <w:hyperlink r:id="rId8" w:tgtFrame="_self" w:history="1">
        <w:r w:rsidRPr="00CC2291">
          <w:rPr>
            <w:rFonts w:eastAsia="Times New Roman" w:cs="Arial"/>
            <w:b/>
            <w:bCs/>
            <w:color w:val="1187B8"/>
            <w:szCs w:val="20"/>
            <w:u w:val="single"/>
            <w:lang w:val="es-ES" w:eastAsia="es-ES"/>
          </w:rPr>
          <w:t>el 26-J</w:t>
        </w:r>
      </w:hyperlink>
      <w:r w:rsidRPr="00CC2291">
        <w:rPr>
          <w:rFonts w:eastAsia="Times New Roman" w:cs="Arial"/>
          <w:color w:val="1A1A1A"/>
          <w:szCs w:val="20"/>
          <w:lang w:val="es-ES" w:eastAsia="es-ES"/>
        </w:rPr>
        <w:t> antes siquiera de que se vote, y da igual que sean unos ignorantes o unos corruptos pues los electores ni les conocen. Una farsa electoral ante la que solo cabe abstenerse.</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Porque el tema es mucho peor, porque quienes piden nuestro voto van a aplastarnos a </w:t>
      </w:r>
      <w:hyperlink r:id="rId9" w:tgtFrame="_self" w:history="1">
        <w:r w:rsidRPr="00CC2291">
          <w:rPr>
            <w:rFonts w:eastAsia="Times New Roman" w:cs="Arial"/>
            <w:b/>
            <w:bCs/>
            <w:color w:val="1187B8"/>
            <w:szCs w:val="20"/>
            <w:u w:val="single"/>
            <w:lang w:val="es-ES" w:eastAsia="es-ES"/>
          </w:rPr>
          <w:t>impuestos</w:t>
        </w:r>
      </w:hyperlink>
      <w:r w:rsidRPr="00CC2291">
        <w:rPr>
          <w:rFonts w:eastAsia="Times New Roman" w:cs="Arial"/>
          <w:color w:val="1A1A1A"/>
          <w:szCs w:val="20"/>
          <w:lang w:val="es-ES" w:eastAsia="es-ES"/>
        </w:rPr>
        <w:t> y a subir gasto sin freno, y eso para empezar, porque después nos llevarán a la suspensión de pagos por la vía de urgencia. Y es que los españoles no tenemos remedio, es una repetición del 'vivan las cadenas' o más precisamente de cuando soltaron las mulas que arrastraban la carroza de Fernando VII y se pusieron ellos a tirar de la misma. </w:t>
      </w:r>
      <w:r w:rsidRPr="00CC2291">
        <w:rPr>
          <w:rFonts w:eastAsia="Times New Roman" w:cs="Arial"/>
          <w:b/>
          <w:bCs/>
          <w:color w:val="1A1A1A"/>
          <w:szCs w:val="20"/>
          <w:lang w:val="es-ES" w:eastAsia="es-ES"/>
        </w:rPr>
        <w:t>Los españoles votaremos el 26-J tirar del carro</w:t>
      </w:r>
      <w:r w:rsidRPr="00CC2291">
        <w:rPr>
          <w:rFonts w:eastAsia="Times New Roman" w:cs="Arial"/>
          <w:color w:val="1A1A1A"/>
          <w:szCs w:val="20"/>
          <w:lang w:val="es-ES" w:eastAsia="es-ES"/>
        </w:rPr>
        <w:t> donde está subida la clase política más nepotista, despilfarradora e incompetente de Europa con </w:t>
      </w:r>
      <w:r w:rsidRPr="00CC2291">
        <w:rPr>
          <w:rFonts w:eastAsia="Times New Roman" w:cs="Arial"/>
          <w:b/>
          <w:bCs/>
          <w:color w:val="1A1A1A"/>
          <w:szCs w:val="20"/>
          <w:lang w:val="es-ES" w:eastAsia="es-ES"/>
        </w:rPr>
        <w:t>dos millones de enchufados</w:t>
      </w:r>
      <w:r w:rsidRPr="00CC2291">
        <w:rPr>
          <w:rFonts w:eastAsia="Times New Roman" w:cs="Arial"/>
          <w:color w:val="1A1A1A"/>
          <w:szCs w:val="20"/>
          <w:lang w:val="es-ES" w:eastAsia="es-ES"/>
        </w:rPr>
        <w:t>, y que ahora subirá al carro 200.000 más, para culminar nuestra ruina y la de nuestros hijos y nietos. Es a eso a donde nos llevan los programas de la banda de los cuatro. Piénsenlo dos veces antes de votar su propio expolio.</w:t>
      </w:r>
    </w:p>
    <w:p w:rsidR="00CC2291" w:rsidRDefault="00CC2291" w:rsidP="00CC2291">
      <w:pPr>
        <w:jc w:val="left"/>
        <w:textAlignment w:val="baseline"/>
        <w:outlineLvl w:val="1"/>
        <w:rPr>
          <w:rFonts w:eastAsia="Times New Roman" w:cs="Arial"/>
          <w:b/>
          <w:bCs/>
          <w:color w:val="1A1A1A"/>
          <w:szCs w:val="20"/>
          <w:lang w:val="es-ES" w:eastAsia="es-ES"/>
        </w:rPr>
      </w:pPr>
    </w:p>
    <w:p w:rsidR="00CC2291" w:rsidRPr="00CC2291" w:rsidRDefault="00CC2291" w:rsidP="00CC2291">
      <w:pPr>
        <w:jc w:val="left"/>
        <w:textAlignment w:val="baseline"/>
        <w:outlineLvl w:val="1"/>
        <w:rPr>
          <w:rFonts w:eastAsia="Times New Roman" w:cs="Arial"/>
          <w:b/>
          <w:bCs/>
          <w:color w:val="1A1A1A"/>
          <w:szCs w:val="20"/>
          <w:lang w:val="es-ES" w:eastAsia="es-ES"/>
        </w:rPr>
      </w:pPr>
      <w:r w:rsidRPr="00CC2291">
        <w:rPr>
          <w:rFonts w:eastAsia="Times New Roman" w:cs="Arial"/>
          <w:b/>
          <w:bCs/>
          <w:color w:val="1A1A1A"/>
          <w:szCs w:val="20"/>
          <w:lang w:val="es-ES" w:eastAsia="es-ES"/>
        </w:rPr>
        <w:t>¿Cuánto tiempo trabajamos para el Estado?</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 xml:space="preserve">La Fundación para el Avance de la Libertad y la Unión de Contribuyentes son dos organizaciones cuyos objetivos son tan esenciales para los ciudadanos como “promover el avance de la libertad humana en todos los aspectos” la primera; “reducir, simplificar y hacer </w:t>
      </w:r>
      <w:r w:rsidRPr="00CC2291">
        <w:rPr>
          <w:rFonts w:eastAsia="Times New Roman" w:cs="Arial"/>
          <w:color w:val="1A1A1A"/>
          <w:szCs w:val="20"/>
          <w:lang w:val="es-ES" w:eastAsia="es-ES"/>
        </w:rPr>
        <w:lastRenderedPageBreak/>
        <w:t>proporcional la carga tributaria que soportan los ciudadanos y las empresas, combatiendo el despilfarro y la corrupción” la segunda. Ambas acaban de publicar su informe anual, dirigido por </w:t>
      </w:r>
      <w:r w:rsidRPr="00CC2291">
        <w:rPr>
          <w:rFonts w:eastAsia="Times New Roman" w:cs="Arial"/>
          <w:b/>
          <w:bCs/>
          <w:color w:val="1A1A1A"/>
          <w:szCs w:val="20"/>
          <w:lang w:val="es-ES" w:eastAsia="es-ES"/>
        </w:rPr>
        <w:t xml:space="preserve">Cristina </w:t>
      </w:r>
      <w:proofErr w:type="spellStart"/>
      <w:r w:rsidRPr="00CC2291">
        <w:rPr>
          <w:rFonts w:eastAsia="Times New Roman" w:cs="Arial"/>
          <w:b/>
          <w:bCs/>
          <w:color w:val="1A1A1A"/>
          <w:szCs w:val="20"/>
          <w:lang w:val="es-ES" w:eastAsia="es-ES"/>
        </w:rPr>
        <w:t>Berechet</w:t>
      </w:r>
      <w:proofErr w:type="spellEnd"/>
      <w:r w:rsidRPr="00CC2291">
        <w:rPr>
          <w:rFonts w:eastAsia="Times New Roman" w:cs="Arial"/>
          <w:color w:val="1A1A1A"/>
          <w:szCs w:val="20"/>
          <w:lang w:val="es-ES" w:eastAsia="es-ES"/>
        </w:rPr>
        <w:t>, donde con el máximo rigor académico se exponen los hechos y las cifras del </w:t>
      </w:r>
      <w:hyperlink r:id="rId10" w:tgtFrame="_self" w:history="1">
        <w:r w:rsidRPr="00CC2291">
          <w:rPr>
            <w:rFonts w:eastAsia="Times New Roman" w:cs="Arial"/>
            <w:b/>
            <w:bCs/>
            <w:color w:val="1187B8"/>
            <w:szCs w:val="20"/>
            <w:u w:val="single"/>
            <w:lang w:val="es-ES" w:eastAsia="es-ES"/>
          </w:rPr>
          <w:t>expolio tributario</w:t>
        </w:r>
      </w:hyperlink>
      <w:r w:rsidRPr="00CC2291">
        <w:rPr>
          <w:rFonts w:eastAsia="Times New Roman" w:cs="Arial"/>
          <w:color w:val="1A1A1A"/>
          <w:szCs w:val="20"/>
          <w:lang w:val="es-ES" w:eastAsia="es-ES"/>
        </w:rPr>
        <w:t> al que nos vemos sometidos los españoles, cuya renta disponible </w:t>
      </w:r>
      <w:r w:rsidRPr="00CC2291">
        <w:rPr>
          <w:rFonts w:eastAsia="Times New Roman" w:cs="Arial"/>
          <w:b/>
          <w:bCs/>
          <w:color w:val="1A1A1A"/>
          <w:szCs w:val="20"/>
          <w:lang w:val="es-ES" w:eastAsia="es-ES"/>
        </w:rPr>
        <w:t>no deja de disminuir</w:t>
      </w:r>
      <w:r w:rsidRPr="00CC2291">
        <w:rPr>
          <w:rFonts w:eastAsia="Times New Roman" w:cs="Arial"/>
          <w:color w:val="1A1A1A"/>
          <w:szCs w:val="20"/>
          <w:lang w:val="es-ES" w:eastAsia="es-ES"/>
        </w:rPr>
        <w:t>, mientras el</w:t>
      </w:r>
      <w:hyperlink r:id="rId11" w:tgtFrame="_self" w:history="1">
        <w:r w:rsidRPr="00CC2291">
          <w:rPr>
            <w:rFonts w:eastAsia="Times New Roman" w:cs="Arial"/>
            <w:b/>
            <w:bCs/>
            <w:color w:val="1187B8"/>
            <w:szCs w:val="20"/>
            <w:u w:val="single"/>
            <w:lang w:val="es-ES" w:eastAsia="es-ES"/>
          </w:rPr>
          <w:t> gasto político no deja de crecer</w:t>
        </w:r>
      </w:hyperlink>
      <w:r w:rsidRPr="00CC2291">
        <w:rPr>
          <w:rFonts w:eastAsia="Times New Roman" w:cs="Arial"/>
          <w:color w:val="1A1A1A"/>
          <w:szCs w:val="20"/>
          <w:lang w:val="es-ES" w:eastAsia="es-ES"/>
        </w:rPr>
        <w:t> sin freno ni control alguno.  </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Un trabajador con un sueldo medio anual de 24.400 euros brutos destina el equivalente al salario de 37 días a pagar el IRPF, 102 días a la Seguridad Social, 25 días al </w:t>
      </w:r>
      <w:hyperlink r:id="rId12" w:tgtFrame="_self" w:history="1">
        <w:r w:rsidRPr="00CC2291">
          <w:rPr>
            <w:rFonts w:eastAsia="Times New Roman" w:cs="Arial"/>
            <w:b/>
            <w:bCs/>
            <w:color w:val="1187B8"/>
            <w:szCs w:val="20"/>
            <w:u w:val="single"/>
            <w:lang w:val="es-ES" w:eastAsia="es-ES"/>
          </w:rPr>
          <w:t>IVA</w:t>
        </w:r>
      </w:hyperlink>
      <w:r w:rsidRPr="00CC2291">
        <w:rPr>
          <w:rFonts w:eastAsia="Times New Roman" w:cs="Arial"/>
          <w:color w:val="1A1A1A"/>
          <w:szCs w:val="20"/>
          <w:lang w:val="es-ES" w:eastAsia="es-ES"/>
        </w:rPr>
        <w:t>, 12 días a impuestos especiales y cinco días a otros impuestos. En total, dedica 181 días de su trabajo, la mitad del año, o 15.706 euros a pagar a las AAPP. Ahora bien, de esa cantidad,</w:t>
      </w:r>
      <w:r w:rsidRPr="00CC2291">
        <w:rPr>
          <w:rFonts w:eastAsia="Times New Roman" w:cs="Arial"/>
          <w:b/>
          <w:bCs/>
          <w:color w:val="1A1A1A"/>
          <w:szCs w:val="20"/>
          <w:lang w:val="es-ES" w:eastAsia="es-ES"/>
        </w:rPr>
        <w:t>7.296 euros son las cotizaciones patronales por ese trabajador,</w:t>
      </w:r>
      <w:r w:rsidRPr="00CC2291">
        <w:rPr>
          <w:rFonts w:eastAsia="Times New Roman" w:cs="Arial"/>
          <w:color w:val="1A1A1A"/>
          <w:szCs w:val="20"/>
          <w:lang w:val="es-ES" w:eastAsia="es-ES"/>
        </w:rPr>
        <w:t> por lo que el trabajador paga </w:t>
      </w:r>
      <w:r w:rsidRPr="00CC2291">
        <w:rPr>
          <w:rFonts w:eastAsia="Times New Roman" w:cs="Arial"/>
          <w:b/>
          <w:bCs/>
          <w:color w:val="1A1A1A"/>
          <w:szCs w:val="20"/>
          <w:lang w:val="es-ES" w:eastAsia="es-ES"/>
        </w:rPr>
        <w:t>8.510 euros de su bolsillo</w:t>
      </w:r>
      <w:r w:rsidRPr="00CC2291">
        <w:rPr>
          <w:rFonts w:eastAsia="Times New Roman" w:cs="Arial"/>
          <w:color w:val="1A1A1A"/>
          <w:szCs w:val="20"/>
          <w:lang w:val="es-ES" w:eastAsia="es-ES"/>
        </w:rPr>
        <w:t> o el 35% de la cifra que figura en su nómina, aunque el costo del factor trabajo está gravado con un 49,6%, una de las cifras más altas de toda la OCDE.</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Pero esto es la media nacional. Por CCAA, los catalanes son los que más pagan, junto con los valencianos. Sus gobernantes han empleado el impuesto autonómico para </w:t>
      </w:r>
      <w:r w:rsidRPr="00CC2291">
        <w:rPr>
          <w:rFonts w:eastAsia="Times New Roman" w:cs="Arial"/>
          <w:b/>
          <w:bCs/>
          <w:color w:val="1A1A1A"/>
          <w:szCs w:val="20"/>
          <w:lang w:val="es-ES" w:eastAsia="es-ES"/>
        </w:rPr>
        <w:t>castigar al trabajador de renta media</w:t>
      </w:r>
      <w:r w:rsidRPr="00CC2291">
        <w:rPr>
          <w:rFonts w:eastAsia="Times New Roman" w:cs="Arial"/>
          <w:color w:val="1A1A1A"/>
          <w:szCs w:val="20"/>
          <w:lang w:val="es-ES" w:eastAsia="es-ES"/>
        </w:rPr>
        <w:t> con unos</w:t>
      </w:r>
      <w:hyperlink r:id="rId13" w:tgtFrame="_self" w:history="1">
        <w:r w:rsidRPr="00CC2291">
          <w:rPr>
            <w:rFonts w:eastAsia="Times New Roman" w:cs="Arial"/>
            <w:b/>
            <w:bCs/>
            <w:color w:val="1187B8"/>
            <w:szCs w:val="20"/>
            <w:u w:val="single"/>
            <w:lang w:val="es-ES" w:eastAsia="es-ES"/>
          </w:rPr>
          <w:t> impuestos superiores a la media</w:t>
        </w:r>
      </w:hyperlink>
      <w:r w:rsidRPr="00CC2291">
        <w:rPr>
          <w:rFonts w:eastAsia="Times New Roman" w:cs="Arial"/>
          <w:color w:val="1A1A1A"/>
          <w:szCs w:val="20"/>
          <w:lang w:val="es-ES" w:eastAsia="es-ES"/>
        </w:rPr>
        <w:t>. En sentido contrario, vascos y navarros, gracias al robo del régimen foral a la Hacienda española -14.000 millones directamente por lo irrisorio del cupo o indirectamente no devolviendo todos los IVA e impuestos sobre beneficios obtenidos fuera de los territorios forales por empresas medianas y pequeñas-, gravan las rentas de trabajo por debajo de la media nacional.</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También hay un hecho muy representativo: País Vasco y Navarra, al tener una presión fiscal sobre la renta inferior a la media española, son los que tienen </w:t>
      </w:r>
      <w:hyperlink r:id="rId14" w:tgtFrame="_self" w:history="1">
        <w:r w:rsidRPr="00CC2291">
          <w:rPr>
            <w:rFonts w:eastAsia="Times New Roman" w:cs="Arial"/>
            <w:b/>
            <w:bCs/>
            <w:color w:val="1187B8"/>
            <w:szCs w:val="20"/>
            <w:u w:val="single"/>
            <w:lang w:val="es-ES" w:eastAsia="es-ES"/>
          </w:rPr>
          <w:t>menores tasa de paro</w:t>
        </w:r>
      </w:hyperlink>
      <w:r w:rsidRPr="00CC2291">
        <w:rPr>
          <w:rFonts w:eastAsia="Times New Roman" w:cs="Arial"/>
          <w:color w:val="1A1A1A"/>
          <w:szCs w:val="20"/>
          <w:lang w:val="es-ES" w:eastAsia="es-ES"/>
        </w:rPr>
        <w:t>, algo que deberían tener muy en cuenta los ciudadanos a la hora de votar a aquellos partidos que propugnan </w:t>
      </w:r>
      <w:hyperlink r:id="rId15" w:tgtFrame="_self" w:history="1">
        <w:r w:rsidRPr="00CC2291">
          <w:rPr>
            <w:rFonts w:eastAsia="Times New Roman" w:cs="Arial"/>
            <w:b/>
            <w:bCs/>
            <w:color w:val="1187B8"/>
            <w:szCs w:val="20"/>
            <w:u w:val="single"/>
            <w:lang w:val="es-ES" w:eastAsia="es-ES"/>
          </w:rPr>
          <w:t>fuertes subidas fiscales</w:t>
        </w:r>
      </w:hyperlink>
      <w:r w:rsidRPr="00CC2291">
        <w:rPr>
          <w:rFonts w:eastAsia="Times New Roman" w:cs="Arial"/>
          <w:color w:val="1A1A1A"/>
          <w:szCs w:val="20"/>
          <w:lang w:val="es-ES" w:eastAsia="es-ES"/>
        </w:rPr>
        <w:t> a los 'ricos' o impuestos 'solidarios' para financiar las pensiones. Como ya </w:t>
      </w:r>
      <w:hyperlink r:id="rId16" w:tgtFrame="_self" w:history="1">
        <w:r w:rsidRPr="00CC2291">
          <w:rPr>
            <w:rFonts w:eastAsia="Times New Roman" w:cs="Arial"/>
            <w:b/>
            <w:bCs/>
            <w:color w:val="1187B8"/>
            <w:szCs w:val="20"/>
            <w:u w:val="single"/>
            <w:lang w:val="es-ES" w:eastAsia="es-ES"/>
          </w:rPr>
          <w:t>expliqué la pasada semana</w:t>
        </w:r>
      </w:hyperlink>
      <w:r w:rsidRPr="00CC2291">
        <w:rPr>
          <w:rFonts w:eastAsia="Times New Roman" w:cs="Arial"/>
          <w:color w:val="1A1A1A"/>
          <w:szCs w:val="20"/>
          <w:lang w:val="es-ES" w:eastAsia="es-ES"/>
        </w:rPr>
        <w:t>, recaerían en su mayor parte sobre los 5,5 millones de contribuyentes con ingresos superiores a los 24.000 euros. Y como el agujero previsto en la Seguridad Social para 2016 es de 20.000 millones de euros, esto supone </w:t>
      </w:r>
      <w:r w:rsidRPr="00CC2291">
        <w:rPr>
          <w:rFonts w:eastAsia="Times New Roman" w:cs="Arial"/>
          <w:b/>
          <w:bCs/>
          <w:color w:val="1A1A1A"/>
          <w:szCs w:val="20"/>
          <w:lang w:val="es-ES" w:eastAsia="es-ES"/>
        </w:rPr>
        <w:t>4.000 euros más</w:t>
      </w:r>
      <w:r w:rsidRPr="00CC2291">
        <w:rPr>
          <w:rFonts w:eastAsia="Times New Roman" w:cs="Arial"/>
          <w:color w:val="1A1A1A"/>
          <w:szCs w:val="20"/>
          <w:lang w:val="es-ES" w:eastAsia="es-ES"/>
        </w:rPr>
        <w:t> para unos contribuyentes que ya pagan un 35% de sus ingresos brutos en el escalón más bajo y un 49% en el más elevado.</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En el último informe de la OCDE, la presión fiscal media sobre las parejas casadas con dos hijos en España está entre </w:t>
      </w:r>
      <w:r w:rsidRPr="00CC2291">
        <w:rPr>
          <w:rFonts w:eastAsia="Times New Roman" w:cs="Arial"/>
          <w:b/>
          <w:bCs/>
          <w:color w:val="1A1A1A"/>
          <w:szCs w:val="20"/>
          <w:lang w:val="es-ES" w:eastAsia="es-ES"/>
        </w:rPr>
        <w:t>las cuatro más elevadas de este grupo</w:t>
      </w:r>
      <w:r w:rsidRPr="00CC2291">
        <w:rPr>
          <w:rFonts w:eastAsia="Times New Roman" w:cs="Arial"/>
          <w:color w:val="1A1A1A"/>
          <w:szCs w:val="20"/>
          <w:lang w:val="es-ES" w:eastAsia="es-ES"/>
        </w:rPr>
        <w:t> de los 34 países más desarrollados y se situó en el 33,8% de sus ingresos brutos, frente a una media para el grupo del 26,7%. El informe señala, asimismo, que la presión fiscal sobre el trabajo en España es </w:t>
      </w:r>
      <w:r w:rsidRPr="00CC2291">
        <w:rPr>
          <w:rFonts w:eastAsia="Times New Roman" w:cs="Arial"/>
          <w:b/>
          <w:bCs/>
          <w:color w:val="1A1A1A"/>
          <w:szCs w:val="20"/>
          <w:lang w:val="es-ES" w:eastAsia="es-ES"/>
        </w:rPr>
        <w:t>la que más ha crecido durante los últimos años</w:t>
      </w:r>
      <w:r w:rsidRPr="00CC2291">
        <w:rPr>
          <w:rFonts w:eastAsia="Times New Roman" w:cs="Arial"/>
          <w:color w:val="1A1A1A"/>
          <w:szCs w:val="20"/>
          <w:lang w:val="es-ES" w:eastAsia="es-ES"/>
        </w:rPr>
        <w:t> y supera ya a Dinamarca, Noruega, Canadá u Holanda (3). Que ante esta realidad el régimen político, mediático y servicios de estudio bancarios sostengan el </w:t>
      </w:r>
      <w:r w:rsidRPr="00CC2291">
        <w:rPr>
          <w:rFonts w:eastAsia="Times New Roman" w:cs="Arial"/>
          <w:b/>
          <w:bCs/>
          <w:color w:val="1A1A1A"/>
          <w:szCs w:val="20"/>
          <w:lang w:val="es-ES" w:eastAsia="es-ES"/>
        </w:rPr>
        <w:t>gigantesco engaño </w:t>
      </w:r>
      <w:r w:rsidRPr="00CC2291">
        <w:rPr>
          <w:rFonts w:eastAsia="Times New Roman" w:cs="Arial"/>
          <w:color w:val="1A1A1A"/>
          <w:szCs w:val="20"/>
          <w:lang w:val="es-ES" w:eastAsia="es-ES"/>
        </w:rPr>
        <w:t>de que la presión fiscal en España está por</w:t>
      </w:r>
      <w:r>
        <w:rPr>
          <w:rFonts w:eastAsia="Times New Roman" w:cs="Arial"/>
          <w:color w:val="1A1A1A"/>
          <w:szCs w:val="20"/>
          <w:lang w:val="es-ES" w:eastAsia="es-ES"/>
        </w:rPr>
        <w:t xml:space="preserve"> </w:t>
      </w:r>
      <w:r w:rsidRPr="00CC2291">
        <w:rPr>
          <w:rFonts w:eastAsia="Times New Roman" w:cs="Arial"/>
          <w:b/>
          <w:bCs/>
          <w:color w:val="1A1A1A"/>
          <w:szCs w:val="20"/>
          <w:lang w:val="es-ES" w:eastAsia="es-ES"/>
        </w:rPr>
        <w:t>debajo de la media</w:t>
      </w:r>
      <w:r w:rsidRPr="00CC2291">
        <w:rPr>
          <w:rFonts w:eastAsia="Times New Roman" w:cs="Arial"/>
          <w:color w:val="1A1A1A"/>
          <w:szCs w:val="20"/>
          <w:lang w:val="es-ES" w:eastAsia="es-ES"/>
        </w:rPr>
        <w:t> de la OCDE es un insulto a los contribuyentes. No es de extrañar que el mítico</w:t>
      </w:r>
      <w:r w:rsidRPr="00CC2291">
        <w:rPr>
          <w:rFonts w:eastAsia="Times New Roman" w:cs="Arial"/>
          <w:b/>
          <w:bCs/>
          <w:color w:val="1A1A1A"/>
          <w:szCs w:val="20"/>
          <w:lang w:val="es-ES" w:eastAsia="es-ES"/>
        </w:rPr>
        <w:t> Iñaki Gabilondo</w:t>
      </w:r>
      <w:r>
        <w:rPr>
          <w:rFonts w:eastAsia="Times New Roman" w:cs="Arial"/>
          <w:b/>
          <w:bCs/>
          <w:color w:val="1A1A1A"/>
          <w:szCs w:val="20"/>
          <w:lang w:val="es-ES" w:eastAsia="es-ES"/>
        </w:rPr>
        <w:t xml:space="preserve"> </w:t>
      </w:r>
      <w:r w:rsidRPr="00CC2291">
        <w:rPr>
          <w:rFonts w:eastAsia="Times New Roman" w:cs="Arial"/>
          <w:color w:val="1A1A1A"/>
          <w:szCs w:val="20"/>
          <w:lang w:val="es-ES" w:eastAsia="es-ES"/>
        </w:rPr>
        <w:t>lamentara profundamente hace unos días que “los medios hayan perdido la confianza de los ciudadanos, con lo mucho que costó conseguirla”.</w:t>
      </w:r>
    </w:p>
    <w:p w:rsidR="00CC2291" w:rsidRDefault="00CC2291" w:rsidP="00CC2291">
      <w:pPr>
        <w:jc w:val="left"/>
        <w:textAlignment w:val="baseline"/>
        <w:outlineLvl w:val="1"/>
        <w:rPr>
          <w:rFonts w:eastAsia="Times New Roman" w:cs="Arial"/>
          <w:b/>
          <w:bCs/>
          <w:color w:val="1A1A1A"/>
          <w:szCs w:val="20"/>
          <w:lang w:val="es-ES" w:eastAsia="es-ES"/>
        </w:rPr>
      </w:pPr>
    </w:p>
    <w:p w:rsidR="00CC2291" w:rsidRPr="00CC2291" w:rsidRDefault="00CC2291" w:rsidP="00CC2291">
      <w:pPr>
        <w:jc w:val="left"/>
        <w:textAlignment w:val="baseline"/>
        <w:outlineLvl w:val="1"/>
        <w:rPr>
          <w:rFonts w:eastAsia="Times New Roman" w:cs="Arial"/>
          <w:b/>
          <w:bCs/>
          <w:color w:val="1A1A1A"/>
          <w:szCs w:val="20"/>
          <w:lang w:val="es-ES" w:eastAsia="es-ES"/>
        </w:rPr>
      </w:pPr>
      <w:r w:rsidRPr="00CC2291">
        <w:rPr>
          <w:rFonts w:eastAsia="Times New Roman" w:cs="Arial"/>
          <w:b/>
          <w:bCs/>
          <w:color w:val="1A1A1A"/>
          <w:szCs w:val="20"/>
          <w:lang w:val="es-ES" w:eastAsia="es-ES"/>
        </w:rPr>
        <w:t>Las patrañas sobre las fiscalidad y el PIB</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En las próximas semanas, analizaré las propuestas económicas de los diferentes partidos, donde los grandes presentan programas que van desde el disparate absoluto de convertir España en la Venezuela europea, sumiéndonos en el hambre y la miseria, a la perseverancia en la incompetencia y la mentira. Ninguno propone el cambio en este modelo de Estado que está llevando a la ruina a la nación,</w:t>
      </w:r>
      <w:r w:rsidRPr="00CC2291">
        <w:rPr>
          <w:rFonts w:eastAsia="Times New Roman" w:cs="Arial"/>
          <w:b/>
          <w:bCs/>
          <w:color w:val="1A1A1A"/>
          <w:szCs w:val="20"/>
          <w:lang w:val="es-ES" w:eastAsia="es-ES"/>
        </w:rPr>
        <w:t> ni sustituir la oligarquía de partidos por una democracia real.</w:t>
      </w:r>
      <w:r w:rsidRPr="00CC2291">
        <w:rPr>
          <w:rFonts w:eastAsia="Times New Roman" w:cs="Arial"/>
          <w:color w:val="1A1A1A"/>
          <w:szCs w:val="20"/>
          <w:lang w:val="es-ES" w:eastAsia="es-ES"/>
        </w:rPr>
        <w:t> Solo dos partidos, increíblemente sin representación parlamentaria, VOX y UPYD, proponen lo que España necesita para evitar el desastre:</w:t>
      </w:r>
      <w:r w:rsidRPr="00CC2291">
        <w:rPr>
          <w:rFonts w:eastAsia="Times New Roman" w:cs="Arial"/>
          <w:b/>
          <w:bCs/>
          <w:color w:val="1A1A1A"/>
          <w:szCs w:val="20"/>
          <w:lang w:val="es-ES" w:eastAsia="es-ES"/>
        </w:rPr>
        <w:t> fin de las autonomías</w:t>
      </w:r>
      <w:r w:rsidRPr="00CC2291">
        <w:rPr>
          <w:rFonts w:eastAsia="Times New Roman" w:cs="Arial"/>
          <w:color w:val="1A1A1A"/>
          <w:szCs w:val="20"/>
          <w:lang w:val="es-ES" w:eastAsia="es-ES"/>
        </w:rPr>
        <w:t>, lo que permitiría garantizar las pensiones, acabar con el déficit y bajar impuestos. Y, por supuesto, implantar la democracia que nos robaron en la Transición.</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Las propuestas sobre la fiscalidad tienen un denominador común, todos proponen subir impuestos -si alguien a estas alturas cree las mentiras de Rajoy de bajarlos como hizo en 2011, mejor que se lo haga mirar-. </w:t>
      </w:r>
      <w:r w:rsidRPr="00CC2291">
        <w:rPr>
          <w:rFonts w:eastAsia="Times New Roman" w:cs="Arial"/>
          <w:b/>
          <w:bCs/>
          <w:color w:val="1A1A1A"/>
          <w:szCs w:val="20"/>
          <w:lang w:val="es-ES" w:eastAsia="es-ES"/>
        </w:rPr>
        <w:t>Y lo basan en las tres patrañas habituales</w:t>
      </w:r>
      <w:r w:rsidRPr="00CC2291">
        <w:rPr>
          <w:rFonts w:eastAsia="Times New Roman" w:cs="Arial"/>
          <w:color w:val="1A1A1A"/>
          <w:szCs w:val="20"/>
          <w:lang w:val="es-ES" w:eastAsia="es-ES"/>
        </w:rPr>
        <w:t>. La presión fiscal en España es inferior a la media, algo escandalosamente falso; las subidas de impuestos serán solo "sobre los ricos", lo que significa la clase media y la clase trabajadora, porque España es el único país desarrollado donde los ricos están exentos de la mayoría de impuestos.</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 xml:space="preserve">El PSOE creó para ello en los ochenta unos instrumentos jurídico fiscales que lo permiten, las </w:t>
      </w:r>
      <w:proofErr w:type="spellStart"/>
      <w:r w:rsidRPr="00CC2291">
        <w:rPr>
          <w:rFonts w:eastAsia="Times New Roman" w:cs="Arial"/>
          <w:color w:val="1A1A1A"/>
          <w:szCs w:val="20"/>
          <w:lang w:val="es-ES" w:eastAsia="es-ES"/>
        </w:rPr>
        <w:t>sicavs</w:t>
      </w:r>
      <w:proofErr w:type="spellEnd"/>
      <w:r w:rsidRPr="00CC2291">
        <w:rPr>
          <w:rFonts w:eastAsia="Times New Roman" w:cs="Arial"/>
          <w:color w:val="1A1A1A"/>
          <w:szCs w:val="20"/>
          <w:lang w:val="es-ES" w:eastAsia="es-ES"/>
        </w:rPr>
        <w:t>, y que el </w:t>
      </w:r>
      <w:r w:rsidRPr="00CC2291">
        <w:rPr>
          <w:rFonts w:eastAsia="Times New Roman" w:cs="Arial"/>
          <w:b/>
          <w:bCs/>
          <w:color w:val="1A1A1A"/>
          <w:szCs w:val="20"/>
          <w:lang w:val="es-ES" w:eastAsia="es-ES"/>
        </w:rPr>
        <w:t>PP mantuvo íntegramente desde Aznar a Rajoy</w:t>
      </w:r>
      <w:r w:rsidRPr="00CC2291">
        <w:rPr>
          <w:rFonts w:eastAsia="Times New Roman" w:cs="Arial"/>
          <w:color w:val="1A1A1A"/>
          <w:szCs w:val="20"/>
          <w:lang w:val="es-ES" w:eastAsia="es-ES"/>
        </w:rPr>
        <w:t>, por lo que hablar de los ricos es un insulto a quienes efectivamente pagamos. </w:t>
      </w:r>
      <w:r w:rsidRPr="00CC2291">
        <w:rPr>
          <w:rFonts w:eastAsia="Times New Roman" w:cs="Arial"/>
          <w:b/>
          <w:bCs/>
          <w:color w:val="1A1A1A"/>
          <w:szCs w:val="20"/>
          <w:lang w:val="es-ES" w:eastAsia="es-ES"/>
        </w:rPr>
        <w:t>Las grandes empresas apenas pagan impuestos</w:t>
      </w:r>
      <w:r w:rsidRPr="00CC2291">
        <w:rPr>
          <w:rFonts w:eastAsia="Times New Roman" w:cs="Arial"/>
          <w:color w:val="1A1A1A"/>
          <w:szCs w:val="20"/>
          <w:lang w:val="es-ES" w:eastAsia="es-ES"/>
        </w:rPr>
        <w:t> -“hay empresas en el Ibex que no pagan impuestos”, diría Rajoy al poco de llegar a Moncloa- y a continuación les concedió bonificaciones y ajustes fiscales tan escandalosos que son las que menos pagan de Europa y la OCDE, </w:t>
      </w:r>
      <w:r w:rsidRPr="00CC2291">
        <w:rPr>
          <w:rFonts w:eastAsia="Times New Roman" w:cs="Arial"/>
          <w:b/>
          <w:bCs/>
          <w:color w:val="1A1A1A"/>
          <w:szCs w:val="20"/>
          <w:lang w:val="es-ES" w:eastAsia="es-ES"/>
        </w:rPr>
        <w:t>apenas un 3% de media.</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Y lo siguiente son, de nuevo, la cifras falsas de crecimiento, en este caso las del primer trimestre de 2016, donde el INE, como es habitual desde principios de 2008, ha entrado en campaña a favor del Gobierno de turno. Según estas, la economía española registró en el primer trimestre de 2016 </w:t>
      </w:r>
      <w:r w:rsidRPr="00CC2291">
        <w:rPr>
          <w:rFonts w:eastAsia="Times New Roman" w:cs="Arial"/>
          <w:b/>
          <w:bCs/>
          <w:color w:val="1A1A1A"/>
          <w:szCs w:val="20"/>
          <w:lang w:val="es-ES" w:eastAsia="es-ES"/>
        </w:rPr>
        <w:t xml:space="preserve">un crecimiento </w:t>
      </w:r>
      <w:proofErr w:type="spellStart"/>
      <w:r w:rsidRPr="00CC2291">
        <w:rPr>
          <w:rFonts w:eastAsia="Times New Roman" w:cs="Arial"/>
          <w:b/>
          <w:bCs/>
          <w:color w:val="1A1A1A"/>
          <w:szCs w:val="20"/>
          <w:lang w:val="es-ES" w:eastAsia="es-ES"/>
        </w:rPr>
        <w:t>intertrimestral</w:t>
      </w:r>
      <w:proofErr w:type="spellEnd"/>
      <w:r w:rsidRPr="00CC2291">
        <w:rPr>
          <w:rFonts w:eastAsia="Times New Roman" w:cs="Arial"/>
          <w:b/>
          <w:bCs/>
          <w:color w:val="1A1A1A"/>
          <w:szCs w:val="20"/>
          <w:lang w:val="es-ES" w:eastAsia="es-ES"/>
        </w:rPr>
        <w:t xml:space="preserve"> del 0,8%</w:t>
      </w:r>
      <w:r w:rsidRPr="00CC2291">
        <w:rPr>
          <w:rFonts w:eastAsia="Times New Roman" w:cs="Arial"/>
          <w:color w:val="1A1A1A"/>
          <w:szCs w:val="20"/>
          <w:lang w:val="es-ES" w:eastAsia="es-ES"/>
        </w:rPr>
        <w:t>, exactamente igual al de los trimestres anteriores y superior en tres décimas al de la zona euro. Y para contrastar la veracidad de esta cifra, lo primero es compararla con los de indicadores de actividad económica más correlacionados con el PIB, empezando por el más correlacionado de todos, los ingresos fiscales, donde las cifras de la Agencia Tributaria demuestran la falsedad del INE.</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Según la Agencia Tributaria, los ingresos fiscales homogéneos se han desplomado al -0,1% frente al +4,4% en igual periodo del año anterior. Las dos cifras son </w:t>
      </w:r>
      <w:r w:rsidRPr="00CC2291">
        <w:rPr>
          <w:rFonts w:eastAsia="Times New Roman" w:cs="Arial"/>
          <w:b/>
          <w:bCs/>
          <w:color w:val="1A1A1A"/>
          <w:szCs w:val="20"/>
          <w:lang w:val="es-ES" w:eastAsia="es-ES"/>
        </w:rPr>
        <w:t>manifiestamente incompatibles,</w:t>
      </w:r>
      <w:r w:rsidRPr="00CC2291">
        <w:rPr>
          <w:rFonts w:eastAsia="Times New Roman" w:cs="Arial"/>
          <w:color w:val="1A1A1A"/>
          <w:szCs w:val="20"/>
          <w:lang w:val="es-ES" w:eastAsia="es-ES"/>
        </w:rPr>
        <w:t> y es obvio que quien no miente es la Agencia Tributaria. Luego, nos cuentan que el crecimiento ha sido debido a la aportación del sector exterior y al consumo interno. La contribución del primero al PIB ha sido del -0,4% en el primer trimestre, luego si la demanda externa resta y no suma, no puede ser la razón del crecimiento fantasma de que nos habla el INE. Y respecto al consumo interno, si vamos a las ventas en grandes empresas, estas han crecido un +1,6% en el trimestre (un +0,5% en marzo), cifra que compara con el +5,2% y el +3,9% en el tercer y cuarto trimestres anteriores, cuyo crecimiento es “exactamente igual”. </w:t>
      </w:r>
      <w:r w:rsidRPr="00CC2291">
        <w:rPr>
          <w:rFonts w:eastAsia="Times New Roman" w:cs="Arial"/>
          <w:b/>
          <w:bCs/>
          <w:color w:val="1A1A1A"/>
          <w:szCs w:val="20"/>
          <w:lang w:val="es-ES" w:eastAsia="es-ES"/>
        </w:rPr>
        <w:t>La verdad es que nos toman por imbéciles.</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Si hablamos de otros indicadores fuertemente correlacionados con el PIB, como el consumo de energía eléctrica corregido o el consumo aparente de cemento, las caídas son espectaculares: -0,6%, la primera, que se compara con el +2,6% y +2,5% en los trimestres precedentes; y -0,5% la segunda, que se compara con un +5,8% el trimestre anterior. Y a lo que añade lo obvio: </w:t>
      </w:r>
      <w:r w:rsidRPr="00CC2291">
        <w:rPr>
          <w:rFonts w:eastAsia="Times New Roman" w:cs="Arial"/>
          <w:b/>
          <w:bCs/>
          <w:color w:val="1A1A1A"/>
          <w:szCs w:val="20"/>
          <w:lang w:val="es-ES" w:eastAsia="es-ES"/>
        </w:rPr>
        <w:t>las inversiones están paralizadas por la incertidumbre política.</w:t>
      </w:r>
      <w:r w:rsidRPr="00CC2291">
        <w:rPr>
          <w:rFonts w:eastAsia="Times New Roman" w:cs="Arial"/>
          <w:color w:val="1A1A1A"/>
          <w:szCs w:val="20"/>
          <w:lang w:val="es-ES" w:eastAsia="es-ES"/>
        </w:rPr>
        <w:t> Un año después, como hicieron en 2008 para ayudar a Zapatero a ganar las elecciones, reducirán la cifra a la mitad, pero las elecciones son ahora no dentro de un año, ¿de qué servirá entonces que el INE diga que el crecimiento ha sido la mitad de lo que han dicho hoy</w:t>
      </w:r>
      <w:r>
        <w:rPr>
          <w:rFonts w:eastAsia="Times New Roman" w:cs="Arial"/>
          <w:color w:val="1A1A1A"/>
          <w:szCs w:val="20"/>
          <w:lang w:val="es-ES" w:eastAsia="es-ES"/>
        </w:rPr>
        <w:t xml:space="preserve">. </w:t>
      </w:r>
      <w:r w:rsidRPr="00CC2291">
        <w:rPr>
          <w:rFonts w:eastAsia="Times New Roman" w:cs="Arial"/>
          <w:color w:val="1A1A1A"/>
          <w:szCs w:val="20"/>
          <w:lang w:val="es-ES" w:eastAsia="es-ES"/>
        </w:rPr>
        <w:t>Esto en cualquier Estado de derecho sería un delito.</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Es por eso que resulta tan urgente el auditar la C/contabilidad nacional española, para saber cuál es nuestra riqueza real y nuestro déficit, nuestra deuda y nuestra presión fiscal en relación con la misma. Igual que dejar muy claro ante Bruselas, ante los españoles y ante nuestra clase política que </w:t>
      </w:r>
      <w:r w:rsidRPr="00CC2291">
        <w:rPr>
          <w:rFonts w:eastAsia="Times New Roman" w:cs="Arial"/>
          <w:b/>
          <w:bCs/>
          <w:color w:val="1A1A1A"/>
          <w:szCs w:val="20"/>
          <w:lang w:val="es-ES" w:eastAsia="es-ES"/>
        </w:rPr>
        <w:t>no se necesita subir impuestos a los 'ricos'</w:t>
      </w:r>
      <w:r w:rsidRPr="00CC2291">
        <w:rPr>
          <w:rFonts w:eastAsia="Times New Roman" w:cs="Arial"/>
          <w:color w:val="1A1A1A"/>
          <w:szCs w:val="20"/>
          <w:lang w:val="es-ES" w:eastAsia="es-ES"/>
        </w:rPr>
        <w:t> ( clase media y trabajadora) para </w:t>
      </w:r>
      <w:r w:rsidRPr="00CC2291">
        <w:rPr>
          <w:rFonts w:eastAsia="Times New Roman" w:cs="Arial"/>
          <w:b/>
          <w:bCs/>
          <w:color w:val="1A1A1A"/>
          <w:szCs w:val="20"/>
          <w:lang w:val="es-ES" w:eastAsia="es-ES"/>
        </w:rPr>
        <w:t>poder gastar más dinero en los más pobres</w:t>
      </w:r>
      <w:r w:rsidRPr="00CC2291">
        <w:rPr>
          <w:rFonts w:eastAsia="Times New Roman" w:cs="Arial"/>
          <w:color w:val="1A1A1A"/>
          <w:szCs w:val="20"/>
          <w:lang w:val="es-ES" w:eastAsia="es-ES"/>
        </w:rPr>
        <w:t>, lo que se necesita es recortar el despilfarro público porque hay mucha gente pobre a la que necesitamos mejorar sus condiciones de vida. Y para aquellos ingenuos que claman diciendo que si se despide a un millón de empleados públicos inútiles tendremos un millón de parados más, recordarles que la ley empírica más importante de economía española es que </w:t>
      </w:r>
      <w:r w:rsidRPr="00CC2291">
        <w:rPr>
          <w:rFonts w:eastAsia="Times New Roman" w:cs="Arial"/>
          <w:b/>
          <w:bCs/>
          <w:color w:val="1A1A1A"/>
          <w:szCs w:val="20"/>
          <w:lang w:val="es-ES" w:eastAsia="es-ES"/>
        </w:rPr>
        <w:t>por cada puesto que se elimina en el sector público se crean 2,5 puestos en el sector privado</w:t>
      </w:r>
      <w:r w:rsidRPr="00CC2291">
        <w:rPr>
          <w:rFonts w:eastAsia="Times New Roman" w:cs="Arial"/>
          <w:color w:val="1A1A1A"/>
          <w:szCs w:val="20"/>
          <w:lang w:val="es-ES" w:eastAsia="es-ES"/>
        </w:rPr>
        <w:t>, es decir, que un millón menos de empleados públicos crearía 2,5 millones de empleos privados.</w:t>
      </w:r>
    </w:p>
    <w:p w:rsidR="00CC2291" w:rsidRPr="00CC2291" w:rsidRDefault="00CC2291" w:rsidP="00CC2291">
      <w:pPr>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 </w:t>
      </w:r>
    </w:p>
    <w:p w:rsidR="00CC2291" w:rsidRPr="00CC2291" w:rsidRDefault="00CC2291" w:rsidP="00CC2291">
      <w:pPr>
        <w:numPr>
          <w:ilvl w:val="0"/>
          <w:numId w:val="4"/>
        </w:numPr>
        <w:ind w:left="0"/>
        <w:jc w:val="left"/>
        <w:textAlignment w:val="baseline"/>
        <w:rPr>
          <w:rFonts w:eastAsia="Times New Roman" w:cs="Arial"/>
          <w:color w:val="1A1A1A"/>
          <w:szCs w:val="20"/>
          <w:lang w:val="es-ES" w:eastAsia="es-ES"/>
        </w:rPr>
      </w:pPr>
      <w:proofErr w:type="spellStart"/>
      <w:r w:rsidRPr="00CC2291">
        <w:rPr>
          <w:rFonts w:eastAsia="Times New Roman" w:cs="Arial"/>
          <w:color w:val="1A1A1A"/>
          <w:szCs w:val="20"/>
          <w:lang w:val="es-ES" w:eastAsia="es-ES"/>
        </w:rPr>
        <w:t>Thomson</w:t>
      </w:r>
      <w:proofErr w:type="spellEnd"/>
      <w:r w:rsidRPr="00CC2291">
        <w:rPr>
          <w:rFonts w:eastAsia="Times New Roman" w:cs="Arial"/>
          <w:color w:val="1A1A1A"/>
          <w:szCs w:val="20"/>
          <w:lang w:val="es-ES" w:eastAsia="es-ES"/>
        </w:rPr>
        <w:t xml:space="preserve"> Reuters.</w:t>
      </w:r>
    </w:p>
    <w:p w:rsidR="00CC2291" w:rsidRDefault="00CC2291" w:rsidP="00CC2291">
      <w:pPr>
        <w:numPr>
          <w:ilvl w:val="0"/>
          <w:numId w:val="4"/>
        </w:numPr>
        <w:ind w:left="0"/>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Antonio García Trevijano, el mejor pensador político en la historia de las ideas de nuestro país.</w:t>
      </w:r>
    </w:p>
    <w:p w:rsidR="00CC2291" w:rsidRPr="00CC2291" w:rsidRDefault="00CC2291" w:rsidP="00CC2291">
      <w:pPr>
        <w:numPr>
          <w:ilvl w:val="0"/>
          <w:numId w:val="4"/>
        </w:numPr>
        <w:ind w:left="0"/>
        <w:jc w:val="left"/>
        <w:textAlignment w:val="baseline"/>
        <w:rPr>
          <w:rFonts w:eastAsia="Times New Roman" w:cs="Arial"/>
          <w:color w:val="1A1A1A"/>
          <w:szCs w:val="20"/>
          <w:lang w:val="es-ES" w:eastAsia="es-ES"/>
        </w:rPr>
      </w:pPr>
      <w:r w:rsidRPr="00CC2291">
        <w:rPr>
          <w:rFonts w:eastAsia="Times New Roman" w:cs="Arial"/>
          <w:color w:val="1A1A1A"/>
          <w:szCs w:val="20"/>
          <w:lang w:val="es-ES" w:eastAsia="es-ES"/>
        </w:rPr>
        <w:t>3. </w:t>
      </w:r>
      <w:proofErr w:type="spellStart"/>
      <w:r w:rsidRPr="00CC2291">
        <w:rPr>
          <w:rFonts w:eastAsia="Times New Roman" w:cs="Arial"/>
          <w:color w:val="1A1A1A"/>
          <w:szCs w:val="20"/>
          <w:lang w:val="es-ES" w:eastAsia="es-ES"/>
        </w:rPr>
        <w:t>Taxing</w:t>
      </w:r>
      <w:proofErr w:type="spellEnd"/>
      <w:r w:rsidRPr="00CC2291">
        <w:rPr>
          <w:rFonts w:eastAsia="Times New Roman" w:cs="Arial"/>
          <w:color w:val="1A1A1A"/>
          <w:szCs w:val="20"/>
          <w:lang w:val="es-ES" w:eastAsia="es-ES"/>
        </w:rPr>
        <w:t xml:space="preserve"> </w:t>
      </w:r>
      <w:proofErr w:type="spellStart"/>
      <w:r w:rsidRPr="00CC2291">
        <w:rPr>
          <w:rFonts w:eastAsia="Times New Roman" w:cs="Arial"/>
          <w:color w:val="1A1A1A"/>
          <w:szCs w:val="20"/>
          <w:lang w:val="es-ES" w:eastAsia="es-ES"/>
        </w:rPr>
        <w:t>Wages</w:t>
      </w:r>
      <w:proofErr w:type="spellEnd"/>
      <w:r w:rsidRPr="00CC2291">
        <w:rPr>
          <w:rFonts w:eastAsia="Times New Roman" w:cs="Arial"/>
          <w:color w:val="1A1A1A"/>
          <w:szCs w:val="20"/>
          <w:lang w:val="es-ES" w:eastAsia="es-ES"/>
        </w:rPr>
        <w:t>, 2015.</w:t>
      </w:r>
    </w:p>
    <w:p w:rsidR="00CD6EE8" w:rsidRPr="00CC2291" w:rsidRDefault="00CD6EE8" w:rsidP="00CC2291">
      <w:pPr>
        <w:rPr>
          <w:szCs w:val="20"/>
        </w:rPr>
      </w:pPr>
    </w:p>
    <w:sectPr w:rsidR="00CD6EE8" w:rsidRPr="00CC229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90199"/>
    <w:multiLevelType w:val="multilevel"/>
    <w:tmpl w:val="02F0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6D3136CD"/>
    <w:multiLevelType w:val="multilevel"/>
    <w:tmpl w:val="2DB0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C229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05A17"/>
    <w:rsid w:val="00A304E8"/>
    <w:rsid w:val="00AF38CA"/>
    <w:rsid w:val="00B24BAE"/>
    <w:rsid w:val="00B41EF0"/>
    <w:rsid w:val="00B713D0"/>
    <w:rsid w:val="00B77129"/>
    <w:rsid w:val="00BF3E40"/>
    <w:rsid w:val="00C66143"/>
    <w:rsid w:val="00CC2291"/>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CC2291"/>
    <w:rPr>
      <w:color w:val="0000FF"/>
      <w:u w:val="single"/>
    </w:rPr>
  </w:style>
  <w:style w:type="character" w:customStyle="1" w:styleId="news-info-box-title">
    <w:name w:val="news-info-box-title"/>
    <w:basedOn w:val="Fuentedeprrafopredeter"/>
    <w:rsid w:val="00CC2291"/>
  </w:style>
  <w:style w:type="character" w:customStyle="1" w:styleId="news-info-box-title-timeread">
    <w:name w:val="news-info-box-title-timeread"/>
    <w:basedOn w:val="Fuentedeprrafopredeter"/>
    <w:rsid w:val="00CC2291"/>
  </w:style>
  <w:style w:type="character" w:customStyle="1" w:styleId="news-info-box-value-timeread">
    <w:name w:val="news-info-box-value-timeread"/>
    <w:basedOn w:val="Fuentedeprrafopredeter"/>
    <w:rsid w:val="00CC2291"/>
  </w:style>
  <w:style w:type="character" w:customStyle="1" w:styleId="date-act">
    <w:name w:val="date-act"/>
    <w:basedOn w:val="Fuentedeprrafopredeter"/>
    <w:rsid w:val="00CC2291"/>
  </w:style>
  <w:style w:type="character" w:customStyle="1" w:styleId="news-def-date-updated">
    <w:name w:val="news-def-date-updated"/>
    <w:basedOn w:val="Fuentedeprrafopredeter"/>
    <w:rsid w:val="00CC2291"/>
  </w:style>
  <w:style w:type="paragraph" w:styleId="NormalWeb">
    <w:name w:val="Normal (Web)"/>
    <w:basedOn w:val="Normal"/>
    <w:uiPriority w:val="99"/>
    <w:semiHidden/>
    <w:unhideWhenUsed/>
    <w:rsid w:val="00CC229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C2291"/>
    <w:rPr>
      <w:b/>
      <w:bCs/>
    </w:rPr>
  </w:style>
  <w:style w:type="character" w:customStyle="1" w:styleId="summary">
    <w:name w:val="summary"/>
    <w:basedOn w:val="Fuentedeprrafopredeter"/>
    <w:rsid w:val="00CC2291"/>
  </w:style>
  <w:style w:type="paragraph" w:styleId="Textodeglobo">
    <w:name w:val="Balloon Text"/>
    <w:basedOn w:val="Normal"/>
    <w:link w:val="TextodegloboCar"/>
    <w:uiPriority w:val="99"/>
    <w:semiHidden/>
    <w:unhideWhenUsed/>
    <w:rsid w:val="00CC229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291"/>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371535089">
      <w:bodyDiv w:val="1"/>
      <w:marLeft w:val="0"/>
      <w:marRight w:val="0"/>
      <w:marTop w:val="0"/>
      <w:marBottom w:val="0"/>
      <w:divBdr>
        <w:top w:val="none" w:sz="0" w:space="0" w:color="auto"/>
        <w:left w:val="none" w:sz="0" w:space="0" w:color="auto"/>
        <w:bottom w:val="none" w:sz="0" w:space="0" w:color="auto"/>
        <w:right w:val="none" w:sz="0" w:space="0" w:color="auto"/>
      </w:divBdr>
      <w:divsChild>
        <w:div w:id="1006402134">
          <w:marLeft w:val="0"/>
          <w:marRight w:val="0"/>
          <w:marTop w:val="0"/>
          <w:marBottom w:val="0"/>
          <w:divBdr>
            <w:top w:val="none" w:sz="0" w:space="0" w:color="auto"/>
            <w:left w:val="none" w:sz="0" w:space="0" w:color="auto"/>
            <w:bottom w:val="none" w:sz="0" w:space="0" w:color="auto"/>
            <w:right w:val="none" w:sz="0" w:space="0" w:color="auto"/>
          </w:divBdr>
          <w:divsChild>
            <w:div w:id="23404815">
              <w:marLeft w:val="0"/>
              <w:marRight w:val="0"/>
              <w:marTop w:val="0"/>
              <w:marBottom w:val="0"/>
              <w:divBdr>
                <w:top w:val="none" w:sz="0" w:space="0" w:color="auto"/>
                <w:left w:val="none" w:sz="0" w:space="0" w:color="auto"/>
                <w:bottom w:val="none" w:sz="0" w:space="0" w:color="auto"/>
                <w:right w:val="none" w:sz="0" w:space="0" w:color="auto"/>
              </w:divBdr>
              <w:divsChild>
                <w:div w:id="1382632996">
                  <w:marLeft w:val="0"/>
                  <w:marRight w:val="0"/>
                  <w:marTop w:val="0"/>
                  <w:marBottom w:val="0"/>
                  <w:divBdr>
                    <w:top w:val="none" w:sz="0" w:space="0" w:color="auto"/>
                    <w:left w:val="none" w:sz="0" w:space="0" w:color="auto"/>
                    <w:bottom w:val="none" w:sz="0" w:space="0" w:color="auto"/>
                    <w:right w:val="none" w:sz="0" w:space="0" w:color="auto"/>
                  </w:divBdr>
                </w:div>
                <w:div w:id="1891532462">
                  <w:marLeft w:val="0"/>
                  <w:marRight w:val="0"/>
                  <w:marTop w:val="0"/>
                  <w:marBottom w:val="0"/>
                  <w:divBdr>
                    <w:top w:val="none" w:sz="0" w:space="0" w:color="auto"/>
                    <w:left w:val="none" w:sz="0" w:space="0" w:color="auto"/>
                    <w:bottom w:val="dotted" w:sz="6" w:space="0" w:color="DDDDDD"/>
                    <w:right w:val="none" w:sz="0" w:space="0" w:color="auto"/>
                  </w:divBdr>
                  <w:divsChild>
                    <w:div w:id="14918667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12299471">
          <w:marLeft w:val="0"/>
          <w:marRight w:val="0"/>
          <w:marTop w:val="0"/>
          <w:marBottom w:val="0"/>
          <w:divBdr>
            <w:top w:val="none" w:sz="0" w:space="0" w:color="auto"/>
            <w:left w:val="none" w:sz="0" w:space="0" w:color="auto"/>
            <w:bottom w:val="none" w:sz="0" w:space="0" w:color="auto"/>
            <w:right w:val="none" w:sz="0" w:space="0" w:color="auto"/>
          </w:divBdr>
          <w:divsChild>
            <w:div w:id="1916549372">
              <w:marLeft w:val="0"/>
              <w:marRight w:val="0"/>
              <w:marTop w:val="0"/>
              <w:marBottom w:val="0"/>
              <w:divBdr>
                <w:top w:val="none" w:sz="0" w:space="0" w:color="auto"/>
                <w:left w:val="none" w:sz="0" w:space="0" w:color="auto"/>
                <w:bottom w:val="none" w:sz="0" w:space="0" w:color="auto"/>
                <w:right w:val="none" w:sz="0" w:space="0" w:color="auto"/>
              </w:divBdr>
              <w:divsChild>
                <w:div w:id="140780187">
                  <w:marLeft w:val="0"/>
                  <w:marRight w:val="0"/>
                  <w:marTop w:val="0"/>
                  <w:marBottom w:val="0"/>
                  <w:divBdr>
                    <w:top w:val="none" w:sz="0" w:space="0" w:color="auto"/>
                    <w:left w:val="none" w:sz="0" w:space="0" w:color="auto"/>
                    <w:bottom w:val="none" w:sz="0" w:space="0" w:color="auto"/>
                    <w:right w:val="none" w:sz="0" w:space="0" w:color="auto"/>
                  </w:divBdr>
                  <w:divsChild>
                    <w:div w:id="964701571">
                      <w:marLeft w:val="0"/>
                      <w:marRight w:val="0"/>
                      <w:marTop w:val="0"/>
                      <w:marBottom w:val="0"/>
                      <w:divBdr>
                        <w:top w:val="none" w:sz="0" w:space="0" w:color="auto"/>
                        <w:left w:val="none" w:sz="0" w:space="0" w:color="auto"/>
                        <w:bottom w:val="dotted" w:sz="6" w:space="15" w:color="DDDDDD"/>
                        <w:right w:val="none" w:sz="0" w:space="0" w:color="auto"/>
                      </w:divBdr>
                      <w:divsChild>
                        <w:div w:id="1548688918">
                          <w:marLeft w:val="0"/>
                          <w:marRight w:val="0"/>
                          <w:marTop w:val="0"/>
                          <w:marBottom w:val="0"/>
                          <w:divBdr>
                            <w:top w:val="none" w:sz="0" w:space="0" w:color="auto"/>
                            <w:left w:val="none" w:sz="0" w:space="0" w:color="auto"/>
                            <w:bottom w:val="none" w:sz="0" w:space="0" w:color="auto"/>
                            <w:right w:val="none" w:sz="0" w:space="0" w:color="auto"/>
                          </w:divBdr>
                          <w:divsChild>
                            <w:div w:id="1624385386">
                              <w:marLeft w:val="0"/>
                              <w:marRight w:val="0"/>
                              <w:marTop w:val="0"/>
                              <w:marBottom w:val="0"/>
                              <w:divBdr>
                                <w:top w:val="none" w:sz="0" w:space="0" w:color="auto"/>
                                <w:left w:val="none" w:sz="0" w:space="0" w:color="auto"/>
                                <w:bottom w:val="none" w:sz="0" w:space="0" w:color="auto"/>
                                <w:right w:val="none" w:sz="0" w:space="0" w:color="auto"/>
                              </w:divBdr>
                            </w:div>
                            <w:div w:id="1861434463">
                              <w:marLeft w:val="0"/>
                              <w:marRight w:val="0"/>
                              <w:marTop w:val="0"/>
                              <w:marBottom w:val="0"/>
                              <w:divBdr>
                                <w:top w:val="none" w:sz="0" w:space="0" w:color="auto"/>
                                <w:left w:val="none" w:sz="0" w:space="0" w:color="auto"/>
                                <w:bottom w:val="none" w:sz="0" w:space="0" w:color="auto"/>
                                <w:right w:val="none" w:sz="0" w:space="0" w:color="auto"/>
                              </w:divBdr>
                            </w:div>
                            <w:div w:id="8268947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29666252">
                  <w:marLeft w:val="0"/>
                  <w:marRight w:val="0"/>
                  <w:marTop w:val="2175"/>
                  <w:marBottom w:val="750"/>
                  <w:divBdr>
                    <w:top w:val="none" w:sz="0" w:space="0" w:color="auto"/>
                    <w:left w:val="none" w:sz="0" w:space="0" w:color="auto"/>
                    <w:bottom w:val="none" w:sz="0" w:space="0" w:color="auto"/>
                    <w:right w:val="none" w:sz="0" w:space="0" w:color="auto"/>
                  </w:divBdr>
                  <w:divsChild>
                    <w:div w:id="929655530">
                      <w:marLeft w:val="0"/>
                      <w:marRight w:val="0"/>
                      <w:marTop w:val="0"/>
                      <w:marBottom w:val="0"/>
                      <w:divBdr>
                        <w:top w:val="none" w:sz="0" w:space="0" w:color="auto"/>
                        <w:left w:val="none" w:sz="0" w:space="0" w:color="auto"/>
                        <w:bottom w:val="none" w:sz="0" w:space="0" w:color="auto"/>
                        <w:right w:val="none" w:sz="0" w:space="0" w:color="auto"/>
                      </w:divBdr>
                      <w:divsChild>
                        <w:div w:id="378869373">
                          <w:marLeft w:val="0"/>
                          <w:marRight w:val="0"/>
                          <w:marTop w:val="0"/>
                          <w:marBottom w:val="0"/>
                          <w:divBdr>
                            <w:top w:val="none" w:sz="0" w:space="0" w:color="auto"/>
                            <w:left w:val="none" w:sz="0" w:space="0" w:color="auto"/>
                            <w:bottom w:val="none" w:sz="0" w:space="0" w:color="auto"/>
                            <w:right w:val="none" w:sz="0" w:space="0" w:color="auto"/>
                          </w:divBdr>
                        </w:div>
                      </w:divsChild>
                    </w:div>
                    <w:div w:id="758520851">
                      <w:marLeft w:val="0"/>
                      <w:marRight w:val="0"/>
                      <w:marTop w:val="0"/>
                      <w:marBottom w:val="300"/>
                      <w:divBdr>
                        <w:top w:val="none" w:sz="0" w:space="0" w:color="auto"/>
                        <w:left w:val="none" w:sz="0" w:space="0" w:color="auto"/>
                        <w:bottom w:val="none" w:sz="0" w:space="0" w:color="auto"/>
                        <w:right w:val="none" w:sz="0" w:space="0" w:color="auto"/>
                      </w:divBdr>
                    </w:div>
                    <w:div w:id="160245081">
                      <w:marLeft w:val="0"/>
                      <w:marRight w:val="0"/>
                      <w:marTop w:val="0"/>
                      <w:marBottom w:val="300"/>
                      <w:divBdr>
                        <w:top w:val="none" w:sz="0" w:space="0" w:color="auto"/>
                        <w:left w:val="none" w:sz="0" w:space="0" w:color="auto"/>
                        <w:bottom w:val="none" w:sz="0" w:space="0" w:color="auto"/>
                        <w:right w:val="none" w:sz="0" w:space="0" w:color="auto"/>
                      </w:divBdr>
                    </w:div>
                    <w:div w:id="1456212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tags/temas/elecciones-26-j-17611/" TargetMode="External"/><Relationship Id="rId13" Type="http://schemas.openxmlformats.org/officeDocument/2006/relationships/hyperlink" Target="https://blogs.elconfidencial.com/economia/el-disparate-economico/2016-04-11/no-mas-impuestos-para-el-despilfarro-autonomico_11814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confidencial.com/economia/2016-05-19/salario-medio-espanoles-sueldos_1202108/" TargetMode="External"/><Relationship Id="rId12" Type="http://schemas.openxmlformats.org/officeDocument/2006/relationships/hyperlink" Target="https://www.elconfidencial.com/tags/economia/iva-35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logs.elconfidencial.com/economia/el-disparate-economico/2016-05-23/camino-abismo-pensiones-partidos_1204361/" TargetMode="External"/><Relationship Id="rId1" Type="http://schemas.openxmlformats.org/officeDocument/2006/relationships/numbering" Target="numbering.xml"/><Relationship Id="rId6" Type="http://schemas.openxmlformats.org/officeDocument/2006/relationships/hyperlink" Target="https://www.elconfidencial.com/tags/temas/informe-ocde-6212/" TargetMode="External"/><Relationship Id="rId11" Type="http://schemas.openxmlformats.org/officeDocument/2006/relationships/hyperlink" Target="https://www.elconfidencial.com/elecciones-generales/2016-04-28/presupuesto-campana-electoral-130-millones-mailing-debates_1191617/" TargetMode="External"/><Relationship Id="rId5" Type="http://schemas.openxmlformats.org/officeDocument/2006/relationships/hyperlink" Target="https://www.elconfidencial.com/autores/roberto-centeno-64/" TargetMode="External"/><Relationship Id="rId15" Type="http://schemas.openxmlformats.org/officeDocument/2006/relationships/hyperlink" Target="https://www.elconfidencial.com/elecciones-generales/2016-05-27/pedro-sanchez-sitges-impuestos-gobierno_1207389/" TargetMode="External"/><Relationship Id="rId10" Type="http://schemas.openxmlformats.org/officeDocument/2006/relationships/hyperlink" Target="https://www.elconfidencial.com/tags/economia/impuestos-5303/" TargetMode="External"/><Relationship Id="rId4" Type="http://schemas.openxmlformats.org/officeDocument/2006/relationships/webSettings" Target="webSettings.xml"/><Relationship Id="rId9" Type="http://schemas.openxmlformats.org/officeDocument/2006/relationships/hyperlink" Target="https://www.elconfidencial.com/tags/economia/impuestos-5303/" TargetMode="External"/><Relationship Id="rId14" Type="http://schemas.openxmlformats.org/officeDocument/2006/relationships/hyperlink" Target="https://www.elconfidencial.com/ultima-hora-en-vivo/2016-05-04/el-paro-baja-en-abril-en-todas-las-comunidades-sobre-todo-en-baleares_8998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2156</Words>
  <Characters>11860</Characters>
  <Application>Microsoft Office Word</Application>
  <DocSecurity>0</DocSecurity>
  <Lines>98</Lines>
  <Paragraphs>27</Paragraphs>
  <ScaleCrop>false</ScaleCrop>
  <Company>Hewlett-Packard Company</Company>
  <LinksUpToDate>false</LinksUpToDate>
  <CharactersWithSpaces>13989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2019-01-29T19:28:00Z</dcterms:created>
  <dcterms:modified xsi:type="dcterms:W3CDTF">2019-01-29T19:35:00Z</dcterms:modified>
</cp:coreProperties>
</file>