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6E" w:rsidRPr="0054686E" w:rsidRDefault="0054686E" w:rsidP="0054686E">
      <w:pPr>
        <w:outlineLvl w:val="0"/>
        <w:rPr>
          <w:rFonts w:eastAsia="Times New Roman" w:cs="Arial"/>
          <w:b/>
          <w:bCs/>
          <w:kern w:val="36"/>
          <w:szCs w:val="20"/>
          <w:lang w:eastAsia="es-ES"/>
        </w:rPr>
      </w:pPr>
      <w:r w:rsidRPr="0054686E">
        <w:rPr>
          <w:rFonts w:eastAsia="Times New Roman" w:cs="Arial"/>
          <w:b/>
          <w:bCs/>
          <w:kern w:val="36"/>
          <w:szCs w:val="20"/>
          <w:lang w:eastAsia="es-ES"/>
        </w:rPr>
        <w:t>TECNOCRACIA O DEMOCRACIA: EL PODER DE ELEGIR O ELEGIR EL PODER</w:t>
      </w:r>
    </w:p>
    <w:p w:rsidR="0054686E" w:rsidRPr="00C34B0A" w:rsidRDefault="0054686E" w:rsidP="0054686E">
      <w:pPr>
        <w:rPr>
          <w:rFonts w:eastAsia="Times New Roman" w:cs="Times New Roman"/>
          <w:szCs w:val="20"/>
          <w:lang w:eastAsia="es-ES"/>
        </w:rPr>
      </w:pPr>
      <w:r w:rsidRPr="00C34B0A">
        <w:rPr>
          <w:rFonts w:eastAsia="Times New Roman" w:cs="Times New Roman"/>
          <w:szCs w:val="20"/>
          <w:lang w:eastAsia="es-ES"/>
        </w:rPr>
        <w:t xml:space="preserve">DEMOCRESIA. </w:t>
      </w:r>
      <w:r w:rsidR="00C34B0A" w:rsidRPr="00C34B0A">
        <w:rPr>
          <w:rFonts w:eastAsia="Times New Roman" w:cs="Times New Roman"/>
          <w:szCs w:val="20"/>
          <w:lang w:eastAsia="es-ES"/>
        </w:rPr>
        <w:t xml:space="preserve">ABRIL </w:t>
      </w:r>
      <w:hyperlink r:id="rId4" w:history="1">
        <w:r w:rsidR="00C34B0A" w:rsidRPr="00C34B0A">
          <w:rPr>
            <w:rFonts w:eastAsia="Times New Roman" w:cs="Times New Roman"/>
            <w:color w:val="000000"/>
            <w:szCs w:val="20"/>
            <w:lang w:eastAsia="es-ES"/>
          </w:rPr>
          <w:t>2018</w:t>
        </w:r>
      </w:hyperlink>
      <w:r w:rsidRPr="00C34B0A">
        <w:rPr>
          <w:rFonts w:eastAsia="Times New Roman" w:cs="Times New Roman"/>
          <w:szCs w:val="20"/>
          <w:lang w:eastAsia="es-ES"/>
        </w:rPr>
        <w:t>  </w:t>
      </w:r>
    </w:p>
    <w:p w:rsidR="0054686E" w:rsidRPr="0054686E" w:rsidRDefault="0054686E" w:rsidP="0054686E">
      <w:pPr>
        <w:rPr>
          <w:rFonts w:eastAsia="Times New Roman" w:cs="Times New Roman"/>
          <w:szCs w:val="20"/>
          <w:lang w:eastAsia="es-ES"/>
        </w:rPr>
      </w:pPr>
      <w:hyperlink r:id="rId5" w:history="1">
        <w:r w:rsidR="00C34B0A" w:rsidRPr="00C34B0A">
          <w:rPr>
            <w:rFonts w:eastAsia="Times New Roman" w:cs="Times New Roman"/>
            <w:color w:val="000000"/>
            <w:szCs w:val="20"/>
            <w:lang w:eastAsia="es-ES"/>
          </w:rPr>
          <w:t>SERGIO FERNÁNDEZ RIQUELME</w:t>
        </w:r>
      </w:hyperlink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 w:val="16"/>
          <w:szCs w:val="16"/>
          <w:lang w:eastAsia="es-ES"/>
        </w:rPr>
      </w:pPr>
      <w:hyperlink r:id="rId6" w:history="1">
        <w:r w:rsidRPr="0054686E">
          <w:rPr>
            <w:rStyle w:val="Hipervnculo"/>
            <w:sz w:val="16"/>
            <w:szCs w:val="16"/>
          </w:rPr>
          <w:t>https://democresia.es/pensamiento/cultura-politi</w:t>
        </w:r>
        <w:r w:rsidRPr="0054686E">
          <w:rPr>
            <w:rStyle w:val="Hipervnculo"/>
            <w:sz w:val="16"/>
            <w:szCs w:val="16"/>
          </w:rPr>
          <w:t>c</w:t>
        </w:r>
        <w:r w:rsidRPr="0054686E">
          <w:rPr>
            <w:rStyle w:val="Hipervnculo"/>
            <w:sz w:val="16"/>
            <w:szCs w:val="16"/>
          </w:rPr>
          <w:t>a/tecnocracia-o-democracia-el-poder-de-elegir-o-elegir-el-poder/</w:t>
        </w:r>
      </w:hyperlink>
    </w:p>
    <w:p w:rsid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En democracia gobierna el que más votos ciudadanos obtiene, directamente o a través de pactos postelectorales; eso está claro. Otra cuestión es quién puede participar en la contienda y cómo se obtienen los votos; eso dicen.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 xml:space="preserve">En la sociedad civil esa ecuación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demoelectoral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es más bien diferente, con excepciones en votaciones corporativas internas: ¿quién gobierna en una familia o en una empresa?, ¿quién elige al médico, al trabajador, al entrenador?, ¿cómo se selecciona al policía, al juez, al maestro? La respuesta a cada una de estas preguntas atiende a diferentes dimensiones de elección y selección, objetivas y a veces subjetivas. Otra cuestión es si los sistemas oficiales son los adecuados, si el dinero lo puede todo, o sobre si el clientelismo influye en las decisiones.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El Estado de derecho ha logrado en las últimas décadas un equilibrio casi sistémico entre ambas esferas; pero cuando se cuestiona la igualdad de oportunidades, cuando la corrupción de los partidos se hace insoportable o cuando la crisis socioeconómica golpea con fuerza, siempre surge una palabra casi clandestina, una solución que casi nadie querría tomar: la </w:t>
      </w: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Tecnocracia</w:t>
      </w:r>
      <w:r w:rsidRPr="0054686E">
        <w:rPr>
          <w:rFonts w:eastAsia="Times New Roman" w:cs="Arial"/>
          <w:color w:val="000000"/>
          <w:szCs w:val="20"/>
          <w:lang w:eastAsia="es-ES"/>
        </w:rPr>
        <w:t>, el supuesto modelo para, parcial o totalmente, seleccionar a los mejores para gobernar mejor.</w:t>
      </w:r>
    </w:p>
    <w:p w:rsid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</w:p>
    <w:p w:rsidR="0054686E" w:rsidRP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Quién y cómo manda, quién y por qué obedece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 xml:space="preserve">El presupuesto político señalado por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Julien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Freund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es recurrente en nuestro devenir. A la largo de la Historia, grosso modo, se han sucedido diferentes formas de organizar, dirigir y gestionar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lo político</w:t>
      </w:r>
      <w:r w:rsidRPr="0054686E">
        <w:rPr>
          <w:rFonts w:eastAsia="Times New Roman" w:cs="Arial"/>
          <w:color w:val="000000"/>
          <w:szCs w:val="20"/>
          <w:lang w:eastAsia="es-ES"/>
        </w:rPr>
        <w:t> que, para Weber, consistía en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la  aspiración (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Streben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) a participar en el poder o a influir en la distribución del poder entre los distintos Estados, o dentro de un mismo Estado, entre los distintos grupos de hombres que lo componen</w:t>
      </w:r>
      <w:r w:rsidRPr="0054686E">
        <w:rPr>
          <w:rFonts w:eastAsia="Times New Roman" w:cs="Arial"/>
          <w:color w:val="000000"/>
          <w:szCs w:val="20"/>
          <w:lang w:eastAsia="es-ES"/>
        </w:rPr>
        <w:t>”.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Una pléyade de formas de Estado y de Gobierno han sido usadas por hombres y mujeres para convivir entre sí o para invadir al vecino: </w:t>
      </w:r>
      <w:hyperlink r:id="rId7" w:tgtFrame="_blank" w:history="1">
        <w:r w:rsidRPr="0054686E">
          <w:rPr>
            <w:rFonts w:eastAsia="Times New Roman" w:cs="Arial"/>
            <w:color w:val="DB4A37"/>
            <w:szCs w:val="20"/>
            <w:u w:val="single"/>
            <w:lang w:eastAsia="es-ES"/>
          </w:rPr>
          <w:t>míticas</w:t>
        </w:r>
      </w:hyperlink>
      <w:r w:rsidRPr="0054686E">
        <w:rPr>
          <w:rFonts w:eastAsia="Times New Roman" w:cs="Arial"/>
          <w:color w:val="000000"/>
          <w:szCs w:val="20"/>
          <w:lang w:eastAsia="es-ES"/>
        </w:rPr>
        <w:t> autocracias de origen divino y comunidades tribales a campo abierto; admiradas democracias esclavistas desde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Polis</w:t>
      </w:r>
      <w:r w:rsidRPr="0054686E">
        <w:rPr>
          <w:rFonts w:eastAsia="Times New Roman" w:cs="Arial"/>
          <w:color w:val="000000"/>
          <w:szCs w:val="20"/>
          <w:lang w:eastAsia="es-ES"/>
        </w:rPr>
        <w:t> o legendarias repúblicas esclavistas, senatoriales y patricias desde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Urbe</w:t>
      </w:r>
      <w:r w:rsidRPr="0054686E">
        <w:rPr>
          <w:rFonts w:eastAsia="Times New Roman" w:cs="Arial"/>
          <w:color w:val="000000"/>
          <w:szCs w:val="20"/>
          <w:lang w:eastAsia="es-ES"/>
        </w:rPr>
        <w:t>; dictaduras de novelados Césares y Napoleones o “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dictablandas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” militares desde pronunciamientos de cuartel; reyes absolutos, monarcas controlados bajo democracias censitarias o monarquías meramente simbólicas; </w:t>
      </w:r>
      <w:hyperlink r:id="rId8" w:tgtFrame="_blank" w:history="1">
        <w:r w:rsidRPr="0054686E">
          <w:rPr>
            <w:rFonts w:eastAsia="Times New Roman" w:cs="Arial"/>
            <w:color w:val="DB4A37"/>
            <w:szCs w:val="20"/>
            <w:u w:val="single"/>
            <w:lang w:eastAsia="es-ES"/>
          </w:rPr>
          <w:t>repúblicas comunistas en nombre del proletariado</w:t>
        </w:r>
      </w:hyperlink>
      <w:r w:rsidRPr="0054686E">
        <w:rPr>
          <w:rFonts w:eastAsia="Times New Roman" w:cs="Arial"/>
          <w:color w:val="000000"/>
          <w:szCs w:val="20"/>
          <w:lang w:eastAsia="es-ES"/>
        </w:rPr>
        <w:t xml:space="preserve"> y repúblicas democráticas parlamentarias o presidencialistas en representación del ciudadano; regímenes de partido único, pluripartidistas o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partitocráticos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Y entre ellas, siendo propia de era de la industrialización (en sus cuatro fases: del carbón, del petróleo, de las comunicaciones, y digital), se principió el </w:t>
      </w: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sistema tecnocrático</w:t>
      </w:r>
      <w:r w:rsidRPr="0054686E">
        <w:rPr>
          <w:rFonts w:eastAsia="Times New Roman" w:cs="Arial"/>
          <w:color w:val="000000"/>
          <w:szCs w:val="20"/>
          <w:lang w:eastAsia="es-ES"/>
        </w:rPr>
        <w:t> en numerosas ocasiones.  Generalmente planteado y experimentado, casi como un tabú, bien como siniestra amenaza al </w:t>
      </w: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sistema representativo democrático</w:t>
      </w:r>
      <w:r w:rsidRPr="0054686E">
        <w:rPr>
          <w:rFonts w:eastAsia="Times New Roman" w:cs="Arial"/>
          <w:color w:val="000000"/>
          <w:szCs w:val="20"/>
          <w:lang w:eastAsia="es-ES"/>
        </w:rPr>
        <w:t> (en formas desideologizadas o  regímenes autoritarios) bien como necesario complemento en la gestión pública (desde las formas de elección de los funcionarios públicos, de asesores expertos para autoridades centrales o locales, o gobiernos provisionales y técnicos de concentración).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Tecnocracia fue entonces una palabra que desarrollaba políticamente el </w:t>
      </w: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ideal sociopolítico de la </w:t>
      </w:r>
      <w:proofErr w:type="spellStart"/>
      <w:r w:rsidRPr="0054686E">
        <w:rPr>
          <w:rFonts w:eastAsia="Times New Roman" w:cs="Arial"/>
          <w:b/>
          <w:bCs/>
          <w:i/>
          <w:iCs/>
          <w:color w:val="000000"/>
          <w:szCs w:val="20"/>
          <w:lang w:eastAsia="es-ES"/>
        </w:rPr>
        <w:t>meritocracia</w:t>
      </w:r>
      <w:proofErr w:type="spellEnd"/>
      <w:r w:rsidRPr="0054686E">
        <w:rPr>
          <w:rFonts w:eastAsia="Times New Roman" w:cs="Arial"/>
          <w:b/>
          <w:bCs/>
          <w:i/>
          <w:iCs/>
          <w:color w:val="000000"/>
          <w:szCs w:val="20"/>
          <w:lang w:eastAsia="es-ES"/>
        </w:rPr>
        <w:t> </w:t>
      </w:r>
      <w:r w:rsidRPr="0054686E">
        <w:rPr>
          <w:rFonts w:eastAsia="Times New Roman" w:cs="Arial"/>
          <w:color w:val="000000"/>
          <w:szCs w:val="20"/>
          <w:lang w:eastAsia="es-ES"/>
        </w:rPr>
        <w:t>(frente a las prácticas del nepotismo) a través de dos herramientas: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burocracia </w:t>
      </w:r>
      <w:r w:rsidRPr="0054686E">
        <w:rPr>
          <w:rFonts w:eastAsia="Times New Roman" w:cs="Arial"/>
          <w:color w:val="000000"/>
          <w:szCs w:val="20"/>
          <w:lang w:eastAsia="es-ES"/>
        </w:rPr>
        <w:t>estatista (frente al cambio partidista) o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noocracia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de los expertos (frente a la incapacidad de los elegidos). Era el soñado y temido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“gobierno de los técnicos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“, para unos la </w:t>
      </w:r>
      <w:r w:rsidRPr="0054686E">
        <w:rPr>
          <w:rFonts w:eastAsia="Times New Roman" w:cs="Arial"/>
          <w:color w:val="000000"/>
          <w:szCs w:val="20"/>
          <w:lang w:eastAsia="es-ES"/>
        </w:rPr>
        <w:lastRenderedPageBreak/>
        <w:t>eterna oportunidad frente a la corrupción sistémica de los partidos y ante los vaivenes de la lucha ideológica, para otros el paso previo a la dictadura frente a la libertad de elegir al representante y en contra de la diversidad de ofertas electorales.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En la Antigüedad, </w:t>
      </w: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Aristóteles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distinguía entre las formas políticas puras (por el número de los que mandaban: monarquía, aristocracia y democracia) e impuras (las derivaciones de las anteriores: tiranía, oligarquía, demagogia). En el Medioevo, a nivel fáctico se entremezclaban de forma plural la herencia romana y las formas germánicas de obtener el poder y sucederse en él, y a nivel legitimador se desplegaba la dialéctica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augustiana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entre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Civitas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Dei</w:t>
      </w:r>
      <w:r w:rsidRPr="0054686E">
        <w:rPr>
          <w:rFonts w:eastAsia="Times New Roman" w:cs="Arial"/>
          <w:color w:val="000000"/>
          <w:szCs w:val="20"/>
          <w:lang w:eastAsia="es-ES"/>
        </w:rPr>
        <w:t> o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Civitas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terrena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, entre la teocracia del escolástico Juan de Salisbury y el derecho natural del franciscano Guillermo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Ockham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En el inicio de la edad Moderna, Maquiavelo solo diferenciaba entre el Principado (de su admirado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príncipe </w:t>
      </w:r>
      <w:r w:rsidRPr="0054686E">
        <w:rPr>
          <w:rFonts w:eastAsia="Times New Roman" w:cs="Arial"/>
          <w:color w:val="000000"/>
          <w:szCs w:val="20"/>
          <w:lang w:eastAsia="es-ES"/>
        </w:rPr>
        <w:t>Fernando II de Aragón) y la República (fundamentalmente en la divida península itálica), y al final de la misma 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fldChar w:fldCharType="begin"/>
      </w:r>
      <w:r w:rsidRPr="0054686E">
        <w:rPr>
          <w:rFonts w:eastAsia="Times New Roman" w:cs="Arial"/>
          <w:color w:val="000000"/>
          <w:szCs w:val="20"/>
          <w:lang w:eastAsia="es-ES"/>
        </w:rPr>
        <w:instrText xml:space="preserve"> HYPERLINK "https://democresia.es/politica-espanola/cataluna/independentismo-hedonismo-cataluna-luis-gonzalo-diez/" \t "_blank" </w:instrText>
      </w:r>
      <w:r w:rsidRPr="0054686E">
        <w:rPr>
          <w:rFonts w:eastAsia="Times New Roman" w:cs="Arial"/>
          <w:color w:val="000000"/>
          <w:szCs w:val="20"/>
          <w:lang w:eastAsia="es-ES"/>
        </w:rPr>
        <w:fldChar w:fldCharType="separate"/>
      </w:r>
      <w:r w:rsidRPr="0054686E">
        <w:rPr>
          <w:rFonts w:eastAsia="Times New Roman" w:cs="Arial"/>
          <w:color w:val="DB4A37"/>
          <w:szCs w:val="20"/>
          <w:u w:val="single"/>
          <w:lang w:eastAsia="es-ES"/>
        </w:rPr>
        <w:t>Montesquieu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fldChar w:fldCharType="end"/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distinguía entre Monarquía, Despotismo y República (bien democrática bien aristocrática) ante el advenimiento del absolutismo regio (el rey Sol) y estatal (el Leviatán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hobbesiano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). Al inicio de la era contemporánea,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era de las Revoluciones políticas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inspiradas por el pensamiento ilustrado, instauró en algunas naciones de Occidente el primer modelo democrático-liberal, generalmente restringido (por dinero, por sexo o por raza) ante reacciones y restauraciones: la independencia norteamericana (1783), la revolución francesa (1789) y el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demoliberalismo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(1830-1848).</w:t>
      </w:r>
    </w:p>
    <w:p w:rsid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</w:p>
    <w:p w:rsidR="0054686E" w:rsidRP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Lo tradicional, lo carismático… y lo técnico-burocrático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En todas estas etapas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, lo técnico</w:t>
      </w:r>
      <w:r w:rsidRPr="0054686E">
        <w:rPr>
          <w:rFonts w:eastAsia="Times New Roman" w:cs="Arial"/>
          <w:color w:val="000000"/>
          <w:szCs w:val="20"/>
          <w:lang w:eastAsia="es-ES"/>
        </w:rPr>
        <w:t> se manifestaba en las jerarquías organizativas diversas y marcadas por el uso de la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 vis</w:t>
      </w:r>
      <w:r w:rsidRPr="0054686E">
        <w:rPr>
          <w:rFonts w:eastAsia="Times New Roman" w:cs="Arial"/>
          <w:color w:val="000000"/>
          <w:szCs w:val="20"/>
          <w:lang w:eastAsia="es-ES"/>
        </w:rPr>
        <w:t>,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potestas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o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auctoritas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(de la lealtad y el pacto, al sometimiento y la dominación).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 xml:space="preserve">El advenimiento del Estado moderno, diseccionado por Jean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Bodin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conllevará el nacimiento de la moderna burocracia, criticada por el afamado fisiócrata galo Jean-Claude Marie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Vicent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Gournay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y sistematizada por el gobierno napoleónico como “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bureumania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”. Pero en pleno siglo XIX, se irá un paso más allá; frente a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tradición</w:t>
      </w:r>
      <w:r w:rsidRPr="0054686E">
        <w:rPr>
          <w:rFonts w:eastAsia="Times New Roman" w:cs="Arial"/>
          <w:color w:val="000000"/>
          <w:szCs w:val="20"/>
          <w:lang w:eastAsia="es-ES"/>
        </w:rPr>
        <w:t> del viejo mando y el nuevo voto, y al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carisma</w:t>
      </w:r>
      <w:r w:rsidRPr="0054686E">
        <w:rPr>
          <w:rFonts w:eastAsia="Times New Roman" w:cs="Arial"/>
          <w:color w:val="000000"/>
          <w:szCs w:val="20"/>
          <w:lang w:eastAsia="es-ES"/>
        </w:rPr>
        <w:t> del que seguíamos y al que elegíamos, Weber se quedaba con la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 técnica</w:t>
      </w:r>
      <w:r w:rsidRPr="0054686E">
        <w:rPr>
          <w:rFonts w:eastAsia="Times New Roman" w:cs="Arial"/>
          <w:color w:val="000000"/>
          <w:szCs w:val="20"/>
          <w:lang w:eastAsia="es-ES"/>
        </w:rPr>
        <w:t> y la burocracia (sus tres fuentes de legitimación del poder), al ser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más eficiente y racional de la forma de organización de la actividad humana y, por tanto, como la clave para la racional-legal de la autoridad, indispensable para el mundo moderno</w:t>
      </w:r>
      <w:r w:rsidRPr="0054686E">
        <w:rPr>
          <w:rFonts w:eastAsia="Times New Roman" w:cs="Arial"/>
          <w:color w:val="000000"/>
          <w:szCs w:val="20"/>
          <w:lang w:eastAsia="es-ES"/>
        </w:rPr>
        <w:t>“, pese a su amenaza a la libertades individuales.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Pero junto a la creciente burocracia técnica y estatista, ante el impacto del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industrialismo</w:t>
      </w:r>
      <w:r w:rsidRPr="0054686E">
        <w:rPr>
          <w:rFonts w:eastAsia="Times New Roman" w:cs="Arial"/>
          <w:color w:val="000000"/>
          <w:szCs w:val="20"/>
          <w:lang w:eastAsia="es-ES"/>
        </w:rPr>
        <w:t> (con la irrupción de las masas y los modos técnicos de producir), surgirán nuevas formas organización política social tecnocrática como alternativa radical o como ingrediente gestor.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Así la defendieron para una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sociedad sin Estado </w:t>
      </w:r>
      <w:r w:rsidRPr="0054686E">
        <w:rPr>
          <w:rFonts w:eastAsia="Times New Roman" w:cs="Arial"/>
          <w:color w:val="000000"/>
          <w:szCs w:val="20"/>
          <w:lang w:eastAsia="es-ES"/>
        </w:rPr>
        <w:t>(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comunitarista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) el sociólogo francés Claude-Henri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Rouvroy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, el famoso conde de Saint-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Simon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, en su obra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Réorganisation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de la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société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européenne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(1814),  para un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sociedad científica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el filósofo positivista Auguste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Comte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Système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de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politique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positive,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ou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Traité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de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sociologie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,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instituant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la religión de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l’humanité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 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(1851-1854), o como necesidad democrática para el mismo presidente de los EEUU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Woodrow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Wilson en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The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Study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 of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Administration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(1887).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Posteriormente, en el siglo XX el ideal tecnocrático aparecerá primeras formulaciones corporativistas (del organicismo krausista al socialismo gremial), y en los años treinta (“la época de entreguerras”) se difundirá como fórmula de gobierno para regímenes autoritarios/totalitarios antiliberales y antidemocráticos. Las teorías sobre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Tectología (Organización universal de la ciencia), 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del bolchevique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Aleksandr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Bogdanov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será influencia tanto en los economistas de la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pseudocapitalista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solución de emergencia de la NEP como en los burócratas del posterior desarrollismo soviético estalinista. Mientras, el jurista español Luis Eduardo Llorens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(¿Qué es la Tecnocracia?,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1933) descubrirá que la tendencia hacia la </w:t>
      </w:r>
      <w:r w:rsidRPr="0054686E">
        <w:rPr>
          <w:rFonts w:eastAsia="Times New Roman" w:cs="Arial"/>
          <w:color w:val="000000"/>
          <w:szCs w:val="20"/>
          <w:lang w:eastAsia="es-ES"/>
        </w:rPr>
        <w:lastRenderedPageBreak/>
        <w:t>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tecnificación de la política</w:t>
      </w:r>
      <w:r w:rsidRPr="0054686E">
        <w:rPr>
          <w:rFonts w:eastAsia="Times New Roman" w:cs="Arial"/>
          <w:color w:val="000000"/>
          <w:szCs w:val="20"/>
          <w:lang w:eastAsia="es-ES"/>
        </w:rPr>
        <w:t>” se daba tanto en gobiernos democráticos como autoritarios: de un lado la introducción de economistas desideologizados en gabinetes, que trasladaban el paradigma funcionalista derivado de  la moderna división y maquinización del trabajo a la misma actividad  política, como se  asumía en cierta legislación norteamericana (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Nacional Industrial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Recovery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1932) y en la noción tecnocrática popularizada por Howard Scott, William H.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Smyth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y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Thorstein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Veblen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(o por sus seguidores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Lobe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Laing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Bellamy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Porter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o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Lardiner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), con la sacralización de la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Administración  técnica</w:t>
      </w:r>
      <w:r w:rsidRPr="0054686E">
        <w:rPr>
          <w:rFonts w:eastAsia="Times New Roman" w:cs="Arial"/>
          <w:color w:val="000000"/>
          <w:szCs w:val="20"/>
          <w:lang w:eastAsia="es-ES"/>
        </w:rPr>
        <w:t>” ante la idea de que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las ciencias físicas han superado a las sociales</w:t>
      </w:r>
      <w:r w:rsidRPr="0054686E">
        <w:rPr>
          <w:rFonts w:eastAsia="Times New Roman" w:cs="Arial"/>
          <w:color w:val="000000"/>
          <w:szCs w:val="20"/>
          <w:lang w:eastAsia="es-ES"/>
        </w:rPr>
        <w:t>“; y de otro lado la inserción de cuerpos de burócratas directamente en parlamentos sin partidos políticos (con representaciones corporativas), como se intentó con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la Asamblea nacional consultiva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española bajo Miguel Primo de Rivera, o se consiguió brevemente en la Austria del canciller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Dolfuss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o en la Italia fascista del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Duce.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Tras la Segunda guerra mundial dos formas irreconciliables en lo ideológico, separadas por el famoso “telón de acero, y enfrentadas militarmente en los escenarios secundarios (en su particular “Guerra fría”) monopolizaban el símbolo y la realidad de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lo político</w:t>
      </w:r>
      <w:r w:rsidRPr="0054686E">
        <w:rPr>
          <w:rFonts w:eastAsia="Times New Roman" w:cs="Arial"/>
          <w:color w:val="000000"/>
          <w:szCs w:val="20"/>
          <w:lang w:eastAsia="es-ES"/>
        </w:rPr>
        <w:t>: las democracias liberales de raigambre estadounidense y las democracias populares bajo control soviético. Pero dentro de ambos bloques, amén de los “países no alineados” (de la Yugoslavia de Tito a la Indonesia de Suharto), existieron diferentes modelos adaptados a la idiosincrasia cultural/social de cada nación, muchos de los cuales impusieron sistemas tecnocráticos desde arriba, como las elites económicas integradas en las dictaduras de derecha latinoamericanas (por ejemplo, los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 xml:space="preserve">Chicago 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boys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en el régimen de Pinochet) o los inmensos aparatos burocráticos de las repúblicas socialistas/comunistas patrocinadas o subvencionadas por la URSS (como el paradigmático sistema búlgaro).</w:t>
      </w:r>
    </w:p>
    <w:p w:rsid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</w:p>
    <w:p w:rsidR="0054686E" w:rsidRPr="0054686E" w:rsidRDefault="0054686E" w:rsidP="0054686E">
      <w:pPr>
        <w:shd w:val="clear" w:color="auto" w:fill="FFFFFF"/>
        <w:outlineLvl w:val="1"/>
        <w:rPr>
          <w:rFonts w:eastAsia="Times New Roman" w:cs="Arial"/>
          <w:b/>
          <w:bCs/>
          <w:color w:val="000000"/>
          <w:szCs w:val="20"/>
          <w:lang w:eastAsia="es-ES"/>
        </w:rPr>
      </w:pPr>
      <w:r w:rsidRPr="0054686E">
        <w:rPr>
          <w:rFonts w:eastAsia="Times New Roman" w:cs="Arial"/>
          <w:b/>
          <w:bCs/>
          <w:color w:val="000000"/>
          <w:szCs w:val="20"/>
          <w:lang w:eastAsia="es-ES"/>
        </w:rPr>
        <w:t>El debate entre técnica y democracia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 xml:space="preserve">El fin de la Historia proclamado por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Fukuyama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, tras el derrumbe del Muro de Berlín, suponía la victoria del paradigma de la democracia liberal, y bipartidista, norteamericana a finales del siglo XX, a partir de cual se conformó en Europa el sistema de alternancia electoral entre la opción socialdemócrata (liberal progresista) y democristiana (liberal conservadora). Tras años de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pax</w:t>
      </w:r>
      <w:proofErr w:type="spellEnd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,</w:t>
      </w:r>
      <w:r w:rsidRPr="0054686E">
        <w:rPr>
          <w:rFonts w:eastAsia="Times New Roman" w:cs="Arial"/>
          <w:color w:val="000000"/>
          <w:szCs w:val="20"/>
          <w:lang w:eastAsia="es-ES"/>
        </w:rPr>
        <w:t> la crisis económica de 2008-2013 no solo amplió las opciones de elección partidista el Occidente ante la supuesta crisis del modelo bipartidista dominante (pese a la inmortalidad de la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gran coalición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 alemana) o supuso la aparición de las llamadas fuerzas populistas (de la izquierda alternativa al nacionalismo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identitario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); también conllevó el aumento de la selección de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técnicos</w:t>
      </w:r>
      <w:r w:rsidRPr="0054686E">
        <w:rPr>
          <w:rFonts w:eastAsia="Times New Roman" w:cs="Arial"/>
          <w:color w:val="000000"/>
          <w:szCs w:val="20"/>
          <w:lang w:eastAsia="es-ES"/>
        </w:rPr>
        <w:t xml:space="preserve">” para carteras ministeriales ante exigencias neoliberales, la sucesión de soluciones tecnocráticas directas y provisionales ante la crisis de gobernabilidad de esos años (el gobierno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Papademos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Grecia,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Bajnai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Hungría, de Fischer en la República Checa, de Monti o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Gentiloni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Italia,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Jomaa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Túnez, de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Yatseniuk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Ucrania), o el poder casi omnímodo de la burocracia de Bruselas (elegida por pocos o por nadie) que dictaba su voluntad en casi todo el 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Viejo continente</w:t>
      </w:r>
      <w:r w:rsidRPr="0054686E">
        <w:rPr>
          <w:rFonts w:eastAsia="Times New Roman" w:cs="Arial"/>
          <w:color w:val="000000"/>
          <w:szCs w:val="20"/>
          <w:lang w:eastAsia="es-ES"/>
        </w:rPr>
        <w:t>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Y, en el mundo oriental, sus particulares tecnocracias comenzaron a llenar cuadros y estrategias como legitimación de democracias soberanas/limitadas (de Rusia y Kazajistán a Singapur y Turquía), de sistemas tradicionalistas (africanos y árabe/musulmanes) y de regímenes comunistas-capitalistas (de China a Vietnam), para intentar garantizar el desarrollo económico y la estabilidad social desde la unidad y la centralización, de manera alternativa a la pluralidad/diversidad proclamada por el sistema democrático-liberal.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La democracia era, para Churchill,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el menos malo de los sistemas políticos</w:t>
      </w:r>
      <w:r w:rsidRPr="0054686E">
        <w:rPr>
          <w:rFonts w:eastAsia="Times New Roman" w:cs="Arial"/>
          <w:color w:val="000000"/>
          <w:szCs w:val="20"/>
          <w:lang w:eastAsia="es-ES"/>
        </w:rPr>
        <w:t>“. Podría parecer obvio; bajo él hemos alcanzado niveles de libertad, derechos sociales y periodos de paz casi nunca vistos, pero también han persistido desigualdades lacerantes, han crecido amenazas medioambientales sin parangón o han comenzado crisis demográficas sin vuelta atrás.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La sombra tecnocrática parece que siempre está y estará allí, esperando el fallo oportuno, necesidades productivas o supuestas tendencias disgregadoras objeto de debate: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videocracia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 para Giovanni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Sartori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, o esa democracia </w:t>
      </w:r>
      <w:proofErr w:type="spellStart"/>
      <w:r w:rsidRPr="0054686E">
        <w:rPr>
          <w:rFonts w:eastAsia="Times New Roman" w:cs="Arial"/>
          <w:color w:val="000000"/>
          <w:szCs w:val="20"/>
          <w:lang w:eastAsia="es-ES"/>
        </w:rPr>
        <w:t>teledigida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 xml:space="preserve"> en exclusiva por quién </w:t>
      </w:r>
      <w:r w:rsidRPr="0054686E">
        <w:rPr>
          <w:rFonts w:eastAsia="Times New Roman" w:cs="Arial"/>
          <w:color w:val="000000"/>
          <w:szCs w:val="20"/>
          <w:lang w:eastAsia="es-ES"/>
        </w:rPr>
        <w:lastRenderedPageBreak/>
        <w:t>controla los medios; la </w:t>
      </w:r>
      <w:proofErr w:type="spellStart"/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partitocracia</w:t>
      </w:r>
      <w:proofErr w:type="spellEnd"/>
      <w:r w:rsidRPr="0054686E">
        <w:rPr>
          <w:rFonts w:eastAsia="Times New Roman" w:cs="Arial"/>
          <w:color w:val="000000"/>
          <w:szCs w:val="20"/>
          <w:lang w:eastAsia="es-ES"/>
        </w:rPr>
        <w:t> de la que hablaba Antonio García-Trevijano Forte, o esa democracia monopolizada por partidos siempre cerrados. Gustavo Bueno señaló que el peor, y verdadero, enemigo de la democracia actual era ese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fundamentalismo democrático</w:t>
      </w:r>
      <w:r w:rsidRPr="0054686E">
        <w:rPr>
          <w:rFonts w:eastAsia="Times New Roman" w:cs="Arial"/>
          <w:color w:val="000000"/>
          <w:szCs w:val="20"/>
          <w:lang w:eastAsia="es-ES"/>
        </w:rPr>
        <w:t>” que en ocasiones la paraliza, incapaz de comprender los fallos, de emprender cambios, de aceptar disensiones o de plantear nuevos horizontes.</w:t>
      </w:r>
    </w:p>
    <w:p w:rsidR="0054686E" w:rsidRPr="0054686E" w:rsidRDefault="0054686E" w:rsidP="0054686E">
      <w:pPr>
        <w:shd w:val="clear" w:color="auto" w:fill="FFFFFF"/>
        <w:rPr>
          <w:rFonts w:eastAsia="Times New Roman" w:cs="Arial"/>
          <w:color w:val="000000"/>
          <w:szCs w:val="20"/>
          <w:lang w:eastAsia="es-ES"/>
        </w:rPr>
      </w:pPr>
      <w:r w:rsidRPr="0054686E">
        <w:rPr>
          <w:rFonts w:eastAsia="Times New Roman" w:cs="Arial"/>
          <w:color w:val="000000"/>
          <w:szCs w:val="20"/>
          <w:lang w:eastAsia="es-ES"/>
        </w:rPr>
        <w:t>Como subrayaba el viejo premier británico posiblemente “</w:t>
      </w:r>
      <w:r w:rsidRPr="0054686E">
        <w:rPr>
          <w:rFonts w:eastAsia="Times New Roman" w:cs="Arial"/>
          <w:i/>
          <w:iCs/>
          <w:color w:val="000000"/>
          <w:szCs w:val="20"/>
          <w:lang w:eastAsia="es-ES"/>
        </w:rPr>
        <w:t>la democracia es la necesidad de doblegarse, de vez en cuando, a las opiniones de los demás</w:t>
      </w:r>
      <w:r w:rsidRPr="0054686E">
        <w:rPr>
          <w:rFonts w:eastAsia="Times New Roman" w:cs="Arial"/>
          <w:color w:val="000000"/>
          <w:szCs w:val="20"/>
          <w:lang w:eastAsia="es-ES"/>
        </w:rPr>
        <w:t>“.</w:t>
      </w:r>
    </w:p>
    <w:p w:rsidR="004D67CE" w:rsidRPr="0054686E" w:rsidRDefault="004D67CE" w:rsidP="0054686E">
      <w:pPr>
        <w:rPr>
          <w:szCs w:val="20"/>
        </w:rPr>
      </w:pPr>
    </w:p>
    <w:sectPr w:rsidR="004D67CE" w:rsidRPr="0054686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54686E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54686E"/>
    <w:rsid w:val="0060682F"/>
    <w:rsid w:val="00733C78"/>
    <w:rsid w:val="007B1BCC"/>
    <w:rsid w:val="007E13D5"/>
    <w:rsid w:val="00800871"/>
    <w:rsid w:val="00850573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34B0A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546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546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86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4686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eta-category">
    <w:name w:val="meta-category"/>
    <w:basedOn w:val="Fuentedeprrafopredeter"/>
    <w:rsid w:val="0054686E"/>
  </w:style>
  <w:style w:type="character" w:styleId="Hipervnculo">
    <w:name w:val="Hyperlink"/>
    <w:basedOn w:val="Fuentedeprrafopredeter"/>
    <w:uiPriority w:val="99"/>
    <w:semiHidden/>
    <w:unhideWhenUsed/>
    <w:rsid w:val="0054686E"/>
    <w:rPr>
      <w:color w:val="0000FF"/>
      <w:u w:val="single"/>
    </w:rPr>
  </w:style>
  <w:style w:type="character" w:customStyle="1" w:styleId="meta-author">
    <w:name w:val="meta-author"/>
    <w:basedOn w:val="Fuentedeprrafopredeter"/>
    <w:rsid w:val="0054686E"/>
  </w:style>
  <w:style w:type="character" w:customStyle="1" w:styleId="rt-reading-time">
    <w:name w:val="rt-reading-time"/>
    <w:basedOn w:val="Fuentedeprrafopredeter"/>
    <w:rsid w:val="0054686E"/>
  </w:style>
  <w:style w:type="character" w:customStyle="1" w:styleId="rt-label">
    <w:name w:val="rt-label"/>
    <w:basedOn w:val="Fuentedeprrafopredeter"/>
    <w:rsid w:val="0054686E"/>
  </w:style>
  <w:style w:type="character" w:customStyle="1" w:styleId="rt-time">
    <w:name w:val="rt-time"/>
    <w:basedOn w:val="Fuentedeprrafopredeter"/>
    <w:rsid w:val="0054686E"/>
  </w:style>
  <w:style w:type="paragraph" w:styleId="NormalWeb">
    <w:name w:val="Normal (Web)"/>
    <w:basedOn w:val="Normal"/>
    <w:uiPriority w:val="99"/>
    <w:semiHidden/>
    <w:unhideWhenUsed/>
    <w:rsid w:val="00546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686E"/>
    <w:rPr>
      <w:b/>
      <w:bCs/>
    </w:rPr>
  </w:style>
  <w:style w:type="character" w:styleId="nfasis">
    <w:name w:val="Emphasis"/>
    <w:basedOn w:val="Fuentedeprrafopredeter"/>
    <w:uiPriority w:val="20"/>
    <w:qFormat/>
    <w:rsid w:val="0054686E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86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86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5468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cresia.es/mundo/la-revolucion-octubre-suceso-marco-sigl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mocresia.es/pensamiento/mito-y-revolucion-o-cuando-la-ficcion-supera-a-la-realid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mocresia.es/pensamiento/cultura-politica/tecnocracia-o-democracia-el-poder-de-elegir-o-elegir-el-poder/" TargetMode="External"/><Relationship Id="rId5" Type="http://schemas.openxmlformats.org/officeDocument/2006/relationships/hyperlink" Target="https://democresia.es/author/serfer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emocresia.es/pensamiento/cultura-politic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2060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2019-09-11T21:04:00Z</dcterms:created>
  <dcterms:modified xsi:type="dcterms:W3CDTF">2019-09-11T21:17:00Z</dcterms:modified>
</cp:coreProperties>
</file>