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32D" w:rsidRPr="00D5532D" w:rsidRDefault="00D5532D" w:rsidP="00D5532D">
      <w:pPr>
        <w:outlineLvl w:val="0"/>
        <w:rPr>
          <w:rFonts w:eastAsia="Times New Roman" w:cs="Times New Roman"/>
          <w:b/>
          <w:color w:val="000000"/>
          <w:spacing w:val="-5"/>
          <w:kern w:val="36"/>
          <w:szCs w:val="20"/>
          <w:lang w:eastAsia="es-ES"/>
        </w:rPr>
      </w:pPr>
      <w:r w:rsidRPr="00D5532D">
        <w:rPr>
          <w:rFonts w:eastAsia="Times New Roman" w:cs="Times New Roman"/>
          <w:b/>
          <w:color w:val="000000"/>
          <w:spacing w:val="-5"/>
          <w:kern w:val="36"/>
          <w:szCs w:val="20"/>
          <w:lang w:eastAsia="es-ES"/>
        </w:rPr>
        <w:t>LA VISIÓN DE LO ESPAÑOL “IDIOSINCRÁSICO” COMO INSUSTANCIAL CRÍTICA DEL RÉGIMEN DEL 78 (2018)</w:t>
      </w:r>
    </w:p>
    <w:p w:rsidR="00D5532D" w:rsidRPr="00D5532D" w:rsidRDefault="00D5532D" w:rsidP="00D5532D">
      <w:pPr>
        <w:rPr>
          <w:rFonts w:eastAsia="Times New Roman" w:cs="Times New Roman"/>
          <w:bCs/>
          <w:caps/>
          <w:szCs w:val="20"/>
          <w:lang w:eastAsia="es-ES"/>
        </w:rPr>
      </w:pPr>
      <w:r w:rsidRPr="00D5532D">
        <w:rPr>
          <w:rFonts w:eastAsia="Times New Roman" w:cs="Times New Roman"/>
          <w:bCs/>
          <w:caps/>
          <w:szCs w:val="20"/>
          <w:lang w:eastAsia="es-ES"/>
        </w:rPr>
        <w:t>31 marzo 201</w:t>
      </w:r>
    </w:p>
    <w:p w:rsidR="00D5532D" w:rsidRPr="00D5532D" w:rsidRDefault="00D5532D" w:rsidP="00D5532D">
      <w:pPr>
        <w:rPr>
          <w:rFonts w:eastAsia="Times New Roman" w:cs="Times New Roman"/>
          <w:bCs/>
          <w:szCs w:val="20"/>
          <w:lang w:eastAsia="es-ES"/>
        </w:rPr>
      </w:pPr>
      <w:hyperlink r:id="rId4" w:history="1">
        <w:r w:rsidRPr="00D5532D">
          <w:rPr>
            <w:rFonts w:eastAsia="Times New Roman" w:cs="Times New Roman"/>
            <w:bCs/>
            <w:caps/>
            <w:szCs w:val="20"/>
            <w:lang w:eastAsia="es-ES"/>
          </w:rPr>
          <w:t>MONARCOMACO</w:t>
        </w:r>
      </w:hyperlink>
      <w:hyperlink r:id="rId5" w:history="1">
        <w:r w:rsidRPr="00D5532D">
          <w:rPr>
            <w:rFonts w:eastAsia="Times New Roman" w:cs="Times New Roman"/>
            <w:bCs/>
            <w:szCs w:val="20"/>
            <w:lang w:eastAsia="es-ES"/>
          </w:rPr>
          <w:t>8</w:t>
        </w:r>
      </w:hyperlink>
    </w:p>
    <w:p w:rsidR="00D5532D" w:rsidRDefault="00D5532D" w:rsidP="00D5532D">
      <w:pPr>
        <w:shd w:val="clear" w:color="auto" w:fill="FFFFFF"/>
        <w:rPr>
          <w:rFonts w:eastAsia="Times New Roman" w:cs="Times New Roman"/>
          <w:b/>
          <w:bCs/>
          <w:color w:val="6D6D6D"/>
          <w:szCs w:val="20"/>
          <w:lang w:eastAsia="es-ES"/>
        </w:rPr>
      </w:pP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color w:val="2B2B2B"/>
          <w:szCs w:val="20"/>
          <w:lang w:eastAsia="es-ES"/>
        </w:rPr>
        <w:t xml:space="preserve">Gran artimaña argumentativa del Discurso oficial para sortear el peligro de una crítica “integral” del Régimen del 78 (procedente de mentes muy primitivas, sin duda, de pobres aprendices de </w:t>
      </w:r>
      <w:proofErr w:type="spellStart"/>
      <w:r w:rsidRPr="00D5532D">
        <w:rPr>
          <w:rFonts w:eastAsia="Times New Roman" w:cs="Calibri"/>
          <w:color w:val="2B2B2B"/>
          <w:szCs w:val="20"/>
          <w:lang w:eastAsia="es-ES"/>
        </w:rPr>
        <w:t>Trevijanos</w:t>
      </w:r>
      <w:proofErr w:type="spellEnd"/>
      <w:r w:rsidRPr="00D5532D">
        <w:rPr>
          <w:rFonts w:eastAsia="Times New Roman" w:cs="Calibri"/>
          <w:color w:val="2B2B2B"/>
          <w:szCs w:val="20"/>
          <w:lang w:eastAsia="es-ES"/>
        </w:rPr>
        <w:t xml:space="preserve"> “menores”): </w:t>
      </w:r>
      <w:r w:rsidRPr="00D5532D">
        <w:rPr>
          <w:rFonts w:eastAsia="Times New Roman" w:cs="Calibri"/>
          <w:b/>
          <w:bCs/>
          <w:color w:val="2B2B2B"/>
          <w:szCs w:val="20"/>
          <w:lang w:eastAsia="es-ES"/>
        </w:rPr>
        <w:t>nuestra clase dirigente está formada por hombres y/o mujeres que no están dispuestos a hacer “política”.</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color w:val="2B2B2B"/>
          <w:szCs w:val="20"/>
          <w:lang w:eastAsia="es-ES"/>
        </w:rPr>
        <w:t>Con ello se parece indicar que tal vez, algún día, después de salir del estupor incomprensible de este “paro técnico” (es decir, “tecnocrático”), provocado por una pantagruélica indigestión de cargos públicos, esas buenas gentes de conciencia recta y juicio sano empezarán a hacer “política”…, como si alguna vez se hubiera hecho política en la España del Régimen del 78, cuyas reglas son precisamente las que prohíben, censuran e inhiben toda tentativa de “hacer política”.</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b/>
          <w:bCs/>
          <w:color w:val="2B2B2B"/>
          <w:szCs w:val="20"/>
          <w:lang w:eastAsia="es-ES"/>
        </w:rPr>
        <w:t>No se puede hacer política bajo condiciones políticas en las que los sujetos no son libres para hacer política.</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color w:val="2B2B2B"/>
          <w:szCs w:val="20"/>
          <w:lang w:eastAsia="es-ES"/>
        </w:rPr>
        <w:t>La captura oligárquica de un Estado en desguace establecida por los Partidos (</w:t>
      </w:r>
      <w:r w:rsidRPr="00D5532D">
        <w:rPr>
          <w:rFonts w:eastAsia="Times New Roman" w:cs="Calibri"/>
          <w:i/>
          <w:iCs/>
          <w:color w:val="2B2B2B"/>
          <w:szCs w:val="20"/>
          <w:lang w:eastAsia="es-ES"/>
        </w:rPr>
        <w:t>“se constituye” cada tarde con el café de las cinco, según las ocurrencias de los eternos opositores a la jefatura de algún partido viejo, nuevo o en saldo por reformas</w:t>
      </w:r>
      <w:r w:rsidRPr="00D5532D">
        <w:rPr>
          <w:rFonts w:eastAsia="Times New Roman" w:cs="Calibri"/>
          <w:color w:val="2B2B2B"/>
          <w:szCs w:val="20"/>
          <w:lang w:eastAsia="es-ES"/>
        </w:rPr>
        <w:t>) es por su naturaleza misma una forma muy depurada, aunque muy grosera, de prohibir la política, y con ella la libertad para hacer política, porque se instituye nada menos que un Monopolio cerrado que, como tal, no permite el libre juego con el mínimo grado de apertura a los elementos de la sociedad civil que quieran “libremente” participar en el juego sin pasar por su incorporación al Estado hasta en el sueldo y los medios básicos de supervivencia material.</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color w:val="2B2B2B"/>
          <w:szCs w:val="20"/>
          <w:lang w:eastAsia="es-ES"/>
        </w:rPr>
        <w:t>En un Régimen en el que los partidos son instituciones del Estado y sus miembros funcionarios (lo cual está bien para una Alemania que no ha conocido otra forma de Gobierno y gracias a ella o contra ella incluso ha llegado a ser poderosa), </w:t>
      </w:r>
      <w:r w:rsidRPr="00D5532D">
        <w:rPr>
          <w:rFonts w:eastAsia="Times New Roman" w:cs="Calibri"/>
          <w:b/>
          <w:bCs/>
          <w:color w:val="2B2B2B"/>
          <w:szCs w:val="20"/>
          <w:lang w:eastAsia="es-ES"/>
        </w:rPr>
        <w:t>no hay reglas que permitan ninguna Libertad política para nadie</w:t>
      </w:r>
      <w:r w:rsidRPr="00D5532D">
        <w:rPr>
          <w:rFonts w:eastAsia="Times New Roman" w:cs="Calibri"/>
          <w:color w:val="2B2B2B"/>
          <w:szCs w:val="20"/>
          <w:lang w:eastAsia="es-ES"/>
        </w:rPr>
        <w:t>, ni siquiera para las exiguas camarillas de burócratas de los partidos, que no son libres para ejercer su propio poder virtualmente ilimitado e incontrolado, como está demostrando todo el desarrollo del proceso secesionista catalán: cualquier iniciativa real, por cualquiera de las partes, amenaza con desestabilizarlas a todas, de ahí un “impasse”, que es por definición irresoluble, </w:t>
      </w:r>
      <w:r w:rsidRPr="00D5532D">
        <w:rPr>
          <w:rFonts w:eastAsia="Times New Roman" w:cs="Calibri"/>
          <w:b/>
          <w:bCs/>
          <w:color w:val="2B2B2B"/>
          <w:szCs w:val="20"/>
          <w:lang w:eastAsia="es-ES"/>
        </w:rPr>
        <w:t>cuando las reglas de juego del Régimen no dan ya más de sí.</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color w:val="2B2B2B"/>
          <w:szCs w:val="20"/>
          <w:lang w:eastAsia="es-ES"/>
        </w:rPr>
        <w:t>Lo que es seguro es que no hace política quien quiere sino quien puede, y en la España del Régimen del 78 es esa imposibilidad real objetiva, no la incapacidad puramente subjetiva, de hacer política lo que demuestra la carencia de su principio: nadie es libre desde el punto de vista político, ni los sujetos de poder ni los vulgares ciudadanos que se someten a cualquier cosa con tal de que no se note demasiado el vacío político que sin duda les aterraría más que vivir en la pasable irrisión diaria de los boletines de noticias.</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color w:val="2B2B2B"/>
          <w:szCs w:val="20"/>
          <w:lang w:eastAsia="es-ES"/>
        </w:rPr>
        <w:t>En esta neutralización, que es muy característica de las situaciones oligárquicas terminales, se halla una de las claves secretas del proceso de autodestrucción del Régimen.</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color w:val="2B2B2B"/>
          <w:szCs w:val="20"/>
          <w:lang w:eastAsia="es-ES"/>
        </w:rPr>
        <w:t>Imaginar que Rajoy, un Partido, o cualquier otra instancia, puede “hacer política” bajo este Régimen, ignora que todo en él no es nada más que </w:t>
      </w:r>
      <w:r w:rsidRPr="00D5532D">
        <w:rPr>
          <w:rFonts w:eastAsia="Times New Roman" w:cs="Calibri"/>
          <w:b/>
          <w:bCs/>
          <w:color w:val="2B2B2B"/>
          <w:szCs w:val="20"/>
          <w:lang w:eastAsia="es-ES"/>
        </w:rPr>
        <w:t>una simple “coyuntura de poder” carente de cualquier profundidad “institucional”.</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color w:val="2B2B2B"/>
          <w:szCs w:val="20"/>
          <w:lang w:eastAsia="es-ES"/>
        </w:rPr>
        <w:t xml:space="preserve">La expresión de </w:t>
      </w:r>
      <w:proofErr w:type="spellStart"/>
      <w:r w:rsidRPr="00D5532D">
        <w:rPr>
          <w:rFonts w:eastAsia="Times New Roman" w:cs="Calibri"/>
          <w:color w:val="2B2B2B"/>
          <w:szCs w:val="20"/>
          <w:lang w:eastAsia="es-ES"/>
        </w:rPr>
        <w:t>Montoro</w:t>
      </w:r>
      <w:proofErr w:type="spellEnd"/>
      <w:r w:rsidRPr="00D5532D">
        <w:rPr>
          <w:rFonts w:eastAsia="Times New Roman" w:cs="Calibri"/>
          <w:color w:val="2B2B2B"/>
          <w:szCs w:val="20"/>
          <w:lang w:eastAsia="es-ES"/>
        </w:rPr>
        <w:t xml:space="preserve"> sobre los </w:t>
      </w:r>
      <w:r w:rsidRPr="00D5532D">
        <w:rPr>
          <w:rFonts w:eastAsia="Times New Roman" w:cs="Calibri"/>
          <w:i/>
          <w:iCs/>
          <w:color w:val="2B2B2B"/>
          <w:szCs w:val="20"/>
          <w:lang w:eastAsia="es-ES"/>
        </w:rPr>
        <w:t>“Presupuestos para funcionarios y pensionistas”</w:t>
      </w:r>
      <w:r w:rsidRPr="00D5532D">
        <w:rPr>
          <w:rFonts w:eastAsia="Times New Roman" w:cs="Calibri"/>
          <w:color w:val="2B2B2B"/>
          <w:szCs w:val="20"/>
          <w:lang w:eastAsia="es-ES"/>
        </w:rPr>
        <w:t>, que cualquier otro partido y grupo de burócratas de partido firmaría encantado y con más fuste retórico, dice en su trivialidad toda</w:t>
      </w:r>
      <w:r w:rsidRPr="00D5532D">
        <w:rPr>
          <w:rFonts w:eastAsia="Times New Roman" w:cs="Calibri"/>
          <w:b/>
          <w:bCs/>
          <w:color w:val="2B2B2B"/>
          <w:szCs w:val="20"/>
          <w:lang w:eastAsia="es-ES"/>
        </w:rPr>
        <w:t> la verdad política</w:t>
      </w:r>
      <w:r w:rsidRPr="00D5532D">
        <w:rPr>
          <w:rFonts w:eastAsia="Times New Roman" w:cs="Calibri"/>
          <w:color w:val="2B2B2B"/>
          <w:szCs w:val="20"/>
          <w:lang w:eastAsia="es-ES"/>
        </w:rPr>
        <w:t> de este Régimen.</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color w:val="2B2B2B"/>
          <w:szCs w:val="20"/>
          <w:lang w:eastAsia="es-ES"/>
        </w:rPr>
        <w:lastRenderedPageBreak/>
        <w:t>Y si hay que amenazar al PNV con la denuncia en el TC del mismo acuerdo sobre el cupo vasco firmado por el Gobierno hace unos meses, pues va y se hace y tan frescos, porque “hacer política” es eso y nada más que eso: </w:t>
      </w:r>
      <w:r w:rsidRPr="00D5532D">
        <w:rPr>
          <w:rFonts w:eastAsia="Times New Roman" w:cs="Calibri"/>
          <w:i/>
          <w:iCs/>
          <w:color w:val="2B2B2B"/>
          <w:szCs w:val="20"/>
          <w:lang w:eastAsia="es-ES"/>
        </w:rPr>
        <w:t>un dar vueltas de la noria sobre asuntos trillados agrandados por los medios de comunicación como “cosas muy importantes” en las que nos va la vida misma.</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color w:val="2B2B2B"/>
          <w:szCs w:val="20"/>
          <w:lang w:eastAsia="es-ES"/>
        </w:rPr>
        <w:t>La prueba de toda esta falta de “legalidad”, o lo superfluo de la misma, es todo lo que estamos viendo hasta en los menores detalles en el proceso secesionista: los jueces mismos viven en la más alegre improvisación sin nada sólido sobre lo que apoyarse, pero les da igual, pues los políticos de partido que los controlan son todavía más ignorantes e incompetentes que ellos mismos, y los autos están hechos de recortes de prensa que nadie lee salvo quizás el secretario de juzgado que le encarga al bedel que haga las fotocopias para la prensa.</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i/>
          <w:iCs/>
          <w:color w:val="2B2B2B"/>
          <w:szCs w:val="20"/>
          <w:lang w:eastAsia="es-ES"/>
        </w:rPr>
        <w:t>El Régimen se había blindado contra las situaciones internas de excepción mediante la omisión de toda legislación de excepción que pudiera poner en cuestión el poder de los Partidos</w:t>
      </w:r>
      <w:r w:rsidRPr="00D5532D">
        <w:rPr>
          <w:rFonts w:eastAsia="Times New Roman" w:cs="Calibri"/>
          <w:color w:val="2B2B2B"/>
          <w:szCs w:val="20"/>
          <w:lang w:eastAsia="es-ES"/>
        </w:rPr>
        <w:t> y será precisamente </w:t>
      </w:r>
      <w:r w:rsidRPr="00D5532D">
        <w:rPr>
          <w:rFonts w:eastAsia="Times New Roman" w:cs="Calibri"/>
          <w:b/>
          <w:bCs/>
          <w:color w:val="2B2B2B"/>
          <w:szCs w:val="20"/>
          <w:lang w:eastAsia="es-ES"/>
        </w:rPr>
        <w:t>esta carencia de fundamento legal para el ejercicio de la cuestión clave de la Soberanía</w:t>
      </w:r>
      <w:r w:rsidRPr="00D5532D">
        <w:rPr>
          <w:rFonts w:eastAsia="Times New Roman" w:cs="Calibri"/>
          <w:color w:val="2B2B2B"/>
          <w:szCs w:val="20"/>
          <w:lang w:eastAsia="es-ES"/>
        </w:rPr>
        <w:t> la que, como ya sucede, termine por crear la situación definitiva de vacío de poder (del 155, irrisorio a más no poder, en el texto y en su legendaria “aplicación”, un tal Roca es responsable; y el artículo del Código Penal sobre el delito de rebelión redactado nada menos que por el siempre solvente López Garrido, </w:t>
      </w:r>
      <w:r w:rsidRPr="00D5532D">
        <w:rPr>
          <w:rFonts w:eastAsia="Times New Roman" w:cs="Calibri"/>
          <w:i/>
          <w:iCs/>
          <w:color w:val="2B2B2B"/>
          <w:szCs w:val="20"/>
          <w:lang w:eastAsia="es-ES"/>
        </w:rPr>
        <w:t>reconocidos patriotas españoles ambos, vivientes solecismos de la clase política más estúpida..</w:t>
      </w:r>
      <w:r w:rsidRPr="00D5532D">
        <w:rPr>
          <w:rFonts w:eastAsia="Times New Roman" w:cs="Calibri"/>
          <w:color w:val="2B2B2B"/>
          <w:szCs w:val="20"/>
          <w:lang w:eastAsia="es-ES"/>
        </w:rPr>
        <w:t>.).</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color w:val="2B2B2B"/>
          <w:szCs w:val="20"/>
          <w:lang w:eastAsia="es-ES"/>
        </w:rPr>
        <w:t xml:space="preserve">Van a morir achicharrados por agarrarse a </w:t>
      </w:r>
      <w:proofErr w:type="spellStart"/>
      <w:r w:rsidRPr="00D5532D">
        <w:rPr>
          <w:rFonts w:eastAsia="Times New Roman" w:cs="Calibri"/>
          <w:color w:val="2B2B2B"/>
          <w:szCs w:val="20"/>
          <w:lang w:eastAsia="es-ES"/>
        </w:rPr>
        <w:t>Kelsen</w:t>
      </w:r>
      <w:proofErr w:type="spellEnd"/>
      <w:r w:rsidRPr="00D5532D">
        <w:rPr>
          <w:rFonts w:eastAsia="Times New Roman" w:cs="Calibri"/>
          <w:color w:val="2B2B2B"/>
          <w:szCs w:val="20"/>
          <w:lang w:eastAsia="es-ES"/>
        </w:rPr>
        <w:t xml:space="preserve"> y su distribución de “competencias” para evitar la apelación al odiado Soberano.</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color w:val="2B2B2B"/>
          <w:szCs w:val="20"/>
          <w:lang w:eastAsia="es-ES"/>
        </w:rPr>
        <w:t>Rajoy no puede gobernar, ni nadie va a poder hacerlo ya, porque todos están sentados sobre una bomba de relojería que todos ellos sin darse cuenta han construido.</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color w:val="2B2B2B"/>
          <w:szCs w:val="20"/>
          <w:lang w:eastAsia="es-ES"/>
        </w:rPr>
        <w:t>En fin, quien quiera defender seriamente este estado de cosas, omitiendo toda reflexión objetiva sobre sus condiciones reales, que lo haga pero que no juegue a engañar con la crítica acerca de las viejas y desgastadas idiosincrasias patrias que ya no entretienen a nadie ni justifican ninguna forma de arbitrariedad del Poder instituido.</w:t>
      </w:r>
    </w:p>
    <w:p w:rsidR="00D5532D" w:rsidRPr="00D5532D" w:rsidRDefault="00D5532D" w:rsidP="00D5532D">
      <w:pPr>
        <w:shd w:val="clear" w:color="auto" w:fill="FFFFFF"/>
        <w:rPr>
          <w:rFonts w:eastAsia="Times New Roman" w:cs="Arial"/>
          <w:color w:val="2B2B2B"/>
          <w:szCs w:val="20"/>
          <w:lang w:eastAsia="es-ES"/>
        </w:rPr>
      </w:pPr>
      <w:r w:rsidRPr="00D5532D">
        <w:rPr>
          <w:rFonts w:eastAsia="Times New Roman" w:cs="Calibri"/>
          <w:color w:val="2B2B2B"/>
          <w:szCs w:val="20"/>
          <w:lang w:eastAsia="es-ES"/>
        </w:rPr>
        <w:t>Como si el “carácter” español o la Historia política española contemporánea explicasen nada de lo que es </w:t>
      </w:r>
      <w:r w:rsidRPr="00D5532D">
        <w:rPr>
          <w:rFonts w:eastAsia="Times New Roman" w:cs="Calibri"/>
          <w:b/>
          <w:bCs/>
          <w:color w:val="2B2B2B"/>
          <w:szCs w:val="20"/>
          <w:lang w:eastAsia="es-ES"/>
        </w:rPr>
        <w:t>acción de la pura voluntad y ambición de unos individuos instalados en los órganos del poder del Estado</w:t>
      </w:r>
      <w:r w:rsidRPr="00D5532D">
        <w:rPr>
          <w:rFonts w:eastAsia="Times New Roman" w:cs="Calibri"/>
          <w:color w:val="2B2B2B"/>
          <w:szCs w:val="20"/>
          <w:lang w:eastAsia="es-ES"/>
        </w:rPr>
        <w:t>, cuyos males desaparecerán cuando todos esos individuos desaparezcan y con ellos </w:t>
      </w:r>
      <w:r w:rsidRPr="00D5532D">
        <w:rPr>
          <w:rFonts w:eastAsia="Times New Roman" w:cs="Calibri"/>
          <w:b/>
          <w:bCs/>
          <w:color w:val="2B2B2B"/>
          <w:szCs w:val="20"/>
          <w:lang w:eastAsia="es-ES"/>
        </w:rPr>
        <w:t>las Instituciones y Reglas</w:t>
      </w:r>
      <w:r w:rsidRPr="00D5532D">
        <w:rPr>
          <w:rFonts w:eastAsia="Times New Roman" w:cs="Calibri"/>
          <w:color w:val="2B2B2B"/>
          <w:szCs w:val="20"/>
          <w:lang w:eastAsia="es-ES"/>
        </w:rPr>
        <w:t> de las que se han servido para manejar ese Estado.</w:t>
      </w:r>
    </w:p>
    <w:p w:rsidR="004D67CE" w:rsidRPr="00D5532D" w:rsidRDefault="004D67CE" w:rsidP="00D5532D">
      <w:pPr>
        <w:rPr>
          <w:szCs w:val="20"/>
        </w:rPr>
      </w:pPr>
    </w:p>
    <w:sectPr w:rsidR="004D67CE" w:rsidRPr="00D5532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5532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5532D"/>
    <w:rsid w:val="00D845AE"/>
    <w:rsid w:val="00DF5B49"/>
    <w:rsid w:val="00EA47C2"/>
    <w:rsid w:val="00EB4797"/>
    <w:rsid w:val="00EC5D60"/>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D553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532D"/>
    <w:rPr>
      <w:rFonts w:ascii="Times New Roman" w:eastAsia="Times New Roman" w:hAnsi="Times New Roman" w:cs="Times New Roman"/>
      <w:b/>
      <w:bCs/>
      <w:kern w:val="36"/>
      <w:sz w:val="48"/>
      <w:szCs w:val="48"/>
      <w:lang w:eastAsia="es-ES"/>
    </w:rPr>
  </w:style>
  <w:style w:type="character" w:customStyle="1" w:styleId="byline">
    <w:name w:val="byline"/>
    <w:basedOn w:val="Fuentedeprrafopredeter"/>
    <w:rsid w:val="00D5532D"/>
  </w:style>
  <w:style w:type="character" w:styleId="Hipervnculo">
    <w:name w:val="Hyperlink"/>
    <w:basedOn w:val="Fuentedeprrafopredeter"/>
    <w:uiPriority w:val="99"/>
    <w:semiHidden/>
    <w:unhideWhenUsed/>
    <w:rsid w:val="00D5532D"/>
    <w:rPr>
      <w:color w:val="0000FF"/>
      <w:u w:val="single"/>
    </w:rPr>
  </w:style>
  <w:style w:type="character" w:customStyle="1" w:styleId="posted-on">
    <w:name w:val="posted-on"/>
    <w:basedOn w:val="Fuentedeprrafopredeter"/>
    <w:rsid w:val="00D5532D"/>
  </w:style>
  <w:style w:type="character" w:customStyle="1" w:styleId="screen-reader-text">
    <w:name w:val="screen-reader-text"/>
    <w:basedOn w:val="Fuentedeprrafopredeter"/>
    <w:rsid w:val="00D5532D"/>
  </w:style>
  <w:style w:type="paragraph" w:styleId="NormalWeb">
    <w:name w:val="Normal (Web)"/>
    <w:basedOn w:val="Normal"/>
    <w:uiPriority w:val="99"/>
    <w:semiHidden/>
    <w:unhideWhenUsed/>
    <w:rsid w:val="00D5532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5532D"/>
    <w:rPr>
      <w:b/>
      <w:bCs/>
    </w:rPr>
  </w:style>
  <w:style w:type="character" w:styleId="nfasis">
    <w:name w:val="Emphasis"/>
    <w:basedOn w:val="Fuentedeprrafopredeter"/>
    <w:uiPriority w:val="20"/>
    <w:qFormat/>
    <w:rsid w:val="00D5532D"/>
    <w:rPr>
      <w:i/>
      <w:iCs/>
    </w:rPr>
  </w:style>
  <w:style w:type="paragraph" w:styleId="Textodeglobo">
    <w:name w:val="Balloon Text"/>
    <w:basedOn w:val="Normal"/>
    <w:link w:val="TextodegloboCar"/>
    <w:uiPriority w:val="99"/>
    <w:semiHidden/>
    <w:unhideWhenUsed/>
    <w:rsid w:val="00D5532D"/>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53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919145">
      <w:bodyDiv w:val="1"/>
      <w:marLeft w:val="0"/>
      <w:marRight w:val="0"/>
      <w:marTop w:val="0"/>
      <w:marBottom w:val="0"/>
      <w:divBdr>
        <w:top w:val="none" w:sz="0" w:space="0" w:color="auto"/>
        <w:left w:val="none" w:sz="0" w:space="0" w:color="auto"/>
        <w:bottom w:val="none" w:sz="0" w:space="0" w:color="auto"/>
        <w:right w:val="none" w:sz="0" w:space="0" w:color="auto"/>
      </w:divBdr>
      <w:divsChild>
        <w:div w:id="100532852">
          <w:marLeft w:val="0"/>
          <w:marRight w:val="0"/>
          <w:marTop w:val="495"/>
          <w:marBottom w:val="0"/>
          <w:divBdr>
            <w:top w:val="none" w:sz="0" w:space="0" w:color="auto"/>
            <w:left w:val="none" w:sz="0" w:space="0" w:color="auto"/>
            <w:bottom w:val="none" w:sz="0" w:space="0" w:color="auto"/>
            <w:right w:val="none" w:sz="0" w:space="0" w:color="auto"/>
          </w:divBdr>
          <w:divsChild>
            <w:div w:id="22249332">
              <w:marLeft w:val="0"/>
              <w:marRight w:val="0"/>
              <w:marTop w:val="0"/>
              <w:marBottom w:val="0"/>
              <w:divBdr>
                <w:top w:val="none" w:sz="0" w:space="0" w:color="auto"/>
                <w:left w:val="none" w:sz="0" w:space="0" w:color="auto"/>
                <w:bottom w:val="none" w:sz="0" w:space="0" w:color="auto"/>
                <w:right w:val="none" w:sz="0" w:space="0" w:color="auto"/>
              </w:divBdr>
            </w:div>
            <w:div w:id="880901412">
              <w:marLeft w:val="420"/>
              <w:marRight w:val="0"/>
              <w:marTop w:val="0"/>
              <w:marBottom w:val="0"/>
              <w:divBdr>
                <w:top w:val="none" w:sz="0" w:space="0" w:color="auto"/>
                <w:left w:val="single" w:sz="6" w:space="21" w:color="E5E5E5"/>
                <w:bottom w:val="none" w:sz="0" w:space="0" w:color="auto"/>
                <w:right w:val="none" w:sz="0" w:space="0" w:color="auto"/>
              </w:divBdr>
            </w:div>
          </w:divsChild>
        </w:div>
        <w:div w:id="467211639">
          <w:marLeft w:val="0"/>
          <w:marRight w:val="0"/>
          <w:marTop w:val="0"/>
          <w:marBottom w:val="0"/>
          <w:divBdr>
            <w:top w:val="none" w:sz="0" w:space="0" w:color="auto"/>
            <w:left w:val="none" w:sz="0" w:space="0" w:color="auto"/>
            <w:bottom w:val="none" w:sz="0" w:space="0" w:color="auto"/>
            <w:right w:val="none" w:sz="0" w:space="0" w:color="auto"/>
          </w:divBdr>
          <w:divsChild>
            <w:div w:id="6578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riquevargas.blog/2018/03/31/la-vision-de-lo-espanol-idiosincrasico-como-insustancial-critica-del-regimen-del-78-2018/" TargetMode="External"/><Relationship Id="rId4" Type="http://schemas.openxmlformats.org/officeDocument/2006/relationships/hyperlink" Target="https://enriquevargas.blog/author/monarcoma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999</Words>
  <Characters>5499</Characters>
  <Application>Microsoft Office Word</Application>
  <DocSecurity>0</DocSecurity>
  <Lines>45</Lines>
  <Paragraphs>12</Paragraphs>
  <ScaleCrop>false</ScaleCrop>
  <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2019-03-18T21:24:00Z</dcterms:created>
  <dcterms:modified xsi:type="dcterms:W3CDTF">2019-03-18T21:26:00Z</dcterms:modified>
</cp:coreProperties>
</file>