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16A" w:rsidRPr="00DF316A" w:rsidRDefault="00DF316A" w:rsidP="00DF316A">
      <w:pPr>
        <w:outlineLvl w:val="0"/>
        <w:rPr>
          <w:rFonts w:eastAsia="Times New Roman" w:cs="Times New Roman"/>
          <w:b/>
          <w:spacing w:val="-5"/>
          <w:kern w:val="36"/>
          <w:szCs w:val="20"/>
          <w:lang w:eastAsia="es-ES"/>
        </w:rPr>
      </w:pPr>
      <w:r w:rsidRPr="00DF316A">
        <w:rPr>
          <w:rFonts w:eastAsia="Times New Roman" w:cs="Times New Roman"/>
          <w:b/>
          <w:spacing w:val="-5"/>
          <w:kern w:val="36"/>
          <w:szCs w:val="20"/>
          <w:lang w:eastAsia="es-ES"/>
        </w:rPr>
        <w:t>OBSERVACIONES SOBRE LA PROPUESTA DE ILEGALIZACIÓN DE LOS PARTIDOS SECESIONISTAS (2018)</w:t>
      </w:r>
    </w:p>
    <w:p w:rsidR="00DF316A" w:rsidRPr="00DF316A" w:rsidRDefault="00DF316A" w:rsidP="00DF316A">
      <w:pPr>
        <w:rPr>
          <w:rFonts w:eastAsia="Times New Roman" w:cs="Times New Roman"/>
          <w:bCs/>
          <w:szCs w:val="20"/>
          <w:lang w:eastAsia="es-ES"/>
        </w:rPr>
      </w:pPr>
      <w:hyperlink r:id="rId5" w:history="1">
        <w:r w:rsidRPr="00DF316A">
          <w:rPr>
            <w:rFonts w:eastAsia="Times New Roman" w:cs="Times New Roman"/>
            <w:bCs/>
            <w:szCs w:val="20"/>
            <w:lang w:eastAsia="es-ES"/>
          </w:rPr>
          <w:t>24 JULIO 2018</w:t>
        </w:r>
      </w:hyperlink>
    </w:p>
    <w:p w:rsidR="00DF316A" w:rsidRPr="00DF316A" w:rsidRDefault="00DF316A" w:rsidP="00DF316A">
      <w:pPr>
        <w:rPr>
          <w:rFonts w:eastAsia="Times New Roman" w:cs="Times New Roman"/>
          <w:bCs/>
          <w:szCs w:val="20"/>
          <w:lang w:eastAsia="es-ES"/>
        </w:rPr>
      </w:pPr>
      <w:hyperlink r:id="rId6" w:history="1">
        <w:r w:rsidRPr="00DF316A">
          <w:rPr>
            <w:rFonts w:eastAsia="Times New Roman" w:cs="Times New Roman"/>
            <w:bCs/>
            <w:caps/>
            <w:szCs w:val="20"/>
            <w:lang w:eastAsia="es-ES"/>
          </w:rPr>
          <w:t>MONARCOMACO</w:t>
        </w:r>
      </w:hyperlink>
    </w:p>
    <w:p w:rsidR="00DF316A" w:rsidRPr="00DF316A" w:rsidRDefault="00DF316A" w:rsidP="00DF316A">
      <w:pPr>
        <w:shd w:val="clear" w:color="auto" w:fill="FFFFFF"/>
        <w:rPr>
          <w:rFonts w:eastAsia="Times New Roman" w:cs="Calibri"/>
          <w:b/>
          <w:bCs/>
          <w:szCs w:val="20"/>
          <w:lang w:eastAsia="es-ES"/>
        </w:rPr>
      </w:pPr>
    </w:p>
    <w:p w:rsidR="00DF316A" w:rsidRPr="00DF316A" w:rsidRDefault="00DF316A" w:rsidP="00DF316A">
      <w:pPr>
        <w:shd w:val="clear" w:color="auto" w:fill="FFFFFF"/>
        <w:rPr>
          <w:rFonts w:eastAsia="Times New Roman" w:cs="Arial"/>
          <w:szCs w:val="20"/>
          <w:lang w:eastAsia="es-ES"/>
        </w:rPr>
      </w:pPr>
      <w:r w:rsidRPr="00DF316A">
        <w:rPr>
          <w:rFonts w:eastAsia="Times New Roman" w:cs="Calibri"/>
          <w:b/>
          <w:szCs w:val="20"/>
          <w:lang w:eastAsia="es-ES"/>
        </w:rPr>
        <w:t>1.</w:t>
      </w:r>
      <w:r w:rsidRPr="00DF316A">
        <w:rPr>
          <w:rFonts w:eastAsia="Times New Roman" w:cs="Calibri"/>
          <w:szCs w:val="20"/>
          <w:lang w:eastAsia="es-ES"/>
        </w:rPr>
        <w:t xml:space="preserve"> Uno de los seguidores de Gustavo Bueno más activos desde el punto de vista de la exposición abierta y </w:t>
      </w:r>
      <w:proofErr w:type="spellStart"/>
      <w:r w:rsidRPr="00DF316A">
        <w:rPr>
          <w:rFonts w:eastAsia="Times New Roman" w:cs="Calibri"/>
          <w:i/>
          <w:iCs/>
          <w:szCs w:val="20"/>
          <w:lang w:eastAsia="es-ES"/>
        </w:rPr>
        <w:t>buscadamente</w:t>
      </w:r>
      <w:proofErr w:type="spellEnd"/>
      <w:r w:rsidRPr="00DF316A">
        <w:rPr>
          <w:rFonts w:eastAsia="Times New Roman" w:cs="Calibri"/>
          <w:i/>
          <w:iCs/>
          <w:szCs w:val="20"/>
          <w:lang w:eastAsia="es-ES"/>
        </w:rPr>
        <w:t xml:space="preserve"> polémica</w:t>
      </w:r>
      <w:r w:rsidRPr="00DF316A">
        <w:rPr>
          <w:rFonts w:eastAsia="Times New Roman" w:cs="Calibri"/>
          <w:szCs w:val="20"/>
          <w:lang w:eastAsia="es-ES"/>
        </w:rPr>
        <w:t xml:space="preserve"> de las posiciones políticas del maestro es Pedro </w:t>
      </w:r>
      <w:proofErr w:type="spellStart"/>
      <w:r w:rsidRPr="00DF316A">
        <w:rPr>
          <w:rFonts w:eastAsia="Times New Roman" w:cs="Calibri"/>
          <w:szCs w:val="20"/>
          <w:lang w:eastAsia="es-ES"/>
        </w:rPr>
        <w:t>Insua</w:t>
      </w:r>
      <w:proofErr w:type="spellEnd"/>
      <w:r w:rsidRPr="00DF316A">
        <w:rPr>
          <w:rFonts w:eastAsia="Times New Roman" w:cs="Calibri"/>
          <w:szCs w:val="20"/>
          <w:lang w:eastAsia="es-ES"/>
        </w:rPr>
        <w:t>, quien en dos artículos, publicados el primero en la revista digital </w:t>
      </w:r>
      <w:r w:rsidRPr="00DF316A">
        <w:rPr>
          <w:rFonts w:eastAsia="Times New Roman" w:cs="Calibri"/>
          <w:i/>
          <w:iCs/>
          <w:szCs w:val="20"/>
          <w:lang w:eastAsia="es-ES"/>
        </w:rPr>
        <w:t>el asterisco,</w:t>
      </w:r>
      <w:r w:rsidRPr="00DF316A">
        <w:rPr>
          <w:rFonts w:eastAsia="Times New Roman" w:cs="Calibri"/>
          <w:szCs w:val="20"/>
          <w:lang w:eastAsia="es-ES"/>
        </w:rPr>
        <w:t> nucleada en torno a Rosa Díaz, el 12/11/2017, y el segundo en </w:t>
      </w:r>
      <w:r w:rsidRPr="00DF316A">
        <w:rPr>
          <w:rFonts w:eastAsia="Times New Roman" w:cs="Calibri"/>
          <w:i/>
          <w:iCs/>
          <w:szCs w:val="20"/>
          <w:lang w:eastAsia="es-ES"/>
        </w:rPr>
        <w:t>El Español</w:t>
      </w:r>
      <w:r w:rsidRPr="00DF316A">
        <w:rPr>
          <w:rFonts w:eastAsia="Times New Roman" w:cs="Calibri"/>
          <w:szCs w:val="20"/>
          <w:lang w:eastAsia="es-ES"/>
        </w:rPr>
        <w:t xml:space="preserve"> de Pedro J. Ramírez, el 19/7/2018, retomando y repitiendo parte del anterior, ha defendido la inédita propuesta o “hipótesis de trabajo” (?) de llevar a cabo la ilegalización de los partidos titulados como “secesionistas”. Habría que añadir aquí su reciente y apasionada intervención en el coloquio trasmitido por el canal de </w:t>
      </w:r>
      <w:proofErr w:type="spellStart"/>
      <w:r w:rsidRPr="00DF316A">
        <w:rPr>
          <w:rFonts w:eastAsia="Times New Roman" w:cs="Calibri"/>
          <w:szCs w:val="20"/>
          <w:lang w:eastAsia="es-ES"/>
        </w:rPr>
        <w:t>Youtube</w:t>
      </w:r>
      <w:proofErr w:type="spellEnd"/>
      <w:r w:rsidRPr="00DF316A">
        <w:rPr>
          <w:rFonts w:eastAsia="Times New Roman" w:cs="Calibri"/>
          <w:szCs w:val="20"/>
          <w:lang w:eastAsia="es-ES"/>
        </w:rPr>
        <w:t> </w:t>
      </w:r>
      <w:r w:rsidRPr="00DF316A">
        <w:rPr>
          <w:rFonts w:eastAsia="Times New Roman" w:cs="Calibri"/>
          <w:i/>
          <w:iCs/>
          <w:szCs w:val="20"/>
          <w:lang w:eastAsia="es-ES"/>
        </w:rPr>
        <w:t>Demos TV </w:t>
      </w:r>
      <w:r w:rsidRPr="00DF316A">
        <w:rPr>
          <w:rFonts w:eastAsia="Times New Roman" w:cs="Calibri"/>
          <w:szCs w:val="20"/>
          <w:lang w:eastAsia="es-ES"/>
        </w:rPr>
        <w:t>el pasado día 4/7/2018</w:t>
      </w:r>
      <w:r w:rsidRPr="00DF316A">
        <w:rPr>
          <w:rFonts w:eastAsia="Times New Roman" w:cs="Calibri"/>
          <w:i/>
          <w:iCs/>
          <w:szCs w:val="20"/>
          <w:lang w:eastAsia="es-ES"/>
        </w:rPr>
        <w:t>, </w:t>
      </w:r>
      <w:r w:rsidRPr="00DF316A">
        <w:rPr>
          <w:rFonts w:eastAsia="Times New Roman" w:cs="Calibri"/>
          <w:szCs w:val="20"/>
          <w:lang w:eastAsia="es-ES"/>
        </w:rPr>
        <w:t>en discusión con dos seguidores experimentados del pensamiento de Antonio García-</w:t>
      </w:r>
      <w:proofErr w:type="spellStart"/>
      <w:r w:rsidRPr="00DF316A">
        <w:rPr>
          <w:rFonts w:eastAsia="Times New Roman" w:cs="Calibri"/>
          <w:szCs w:val="20"/>
          <w:lang w:eastAsia="es-ES"/>
        </w:rPr>
        <w:t>Trevijano</w:t>
      </w:r>
      <w:proofErr w:type="spellEnd"/>
      <w:r w:rsidRPr="00DF316A">
        <w:rPr>
          <w:rFonts w:eastAsia="Times New Roman" w:cs="Calibri"/>
          <w:szCs w:val="20"/>
          <w:lang w:eastAsia="es-ES"/>
        </w:rPr>
        <w:t>.</w:t>
      </w:r>
    </w:p>
    <w:p w:rsidR="00DF316A" w:rsidRPr="00DF316A" w:rsidRDefault="00DF316A" w:rsidP="00DF316A">
      <w:pPr>
        <w:shd w:val="clear" w:color="auto" w:fill="FFFFFF"/>
        <w:rPr>
          <w:rFonts w:eastAsia="Times New Roman" w:cs="Arial"/>
          <w:szCs w:val="20"/>
          <w:lang w:eastAsia="es-ES"/>
        </w:rPr>
      </w:pPr>
      <w:r w:rsidRPr="00DF316A">
        <w:rPr>
          <w:rFonts w:eastAsia="Times New Roman" w:cs="Calibri"/>
          <w:szCs w:val="20"/>
          <w:lang w:eastAsia="es-ES"/>
        </w:rPr>
        <w:t>Me interesa entrar en la lógica interna de unos muy determinados conceptos políticos, cuya inspiración teórica subyacente resulta discutible por lo que presuponen, más que por lo que defienden. Es bastante probable que sea precisamente a causa de esos conceptos por lo que no pueda darse una verdadera discusión sustanciosa que no acabe en paradojas, perplejidades, aporías y ficciones jurídicas, todas ellas derivadas de lo acríticamente con que se manejan ciertas nociones oscuras, procedentes de una historia del pensamiento político europeo en sí misma problemática y, por ello mismo, estéril y agotada.</w:t>
      </w:r>
    </w:p>
    <w:p w:rsidR="00DF316A" w:rsidRPr="00DF316A" w:rsidRDefault="00DF316A" w:rsidP="00DF316A">
      <w:pPr>
        <w:shd w:val="clear" w:color="auto" w:fill="FFFFFF"/>
        <w:rPr>
          <w:rFonts w:eastAsia="Times New Roman" w:cs="Arial"/>
          <w:szCs w:val="20"/>
          <w:lang w:eastAsia="es-ES"/>
        </w:rPr>
      </w:pPr>
      <w:r w:rsidRPr="00DF316A">
        <w:rPr>
          <w:rFonts w:eastAsia="Times New Roman" w:cs="Calibri"/>
          <w:szCs w:val="20"/>
          <w:lang w:eastAsia="es-ES"/>
        </w:rPr>
        <w:t xml:space="preserve">Para entrar en materia, antes de describir con más detalle las posiciones de Pedro </w:t>
      </w:r>
      <w:proofErr w:type="spellStart"/>
      <w:r w:rsidRPr="00DF316A">
        <w:rPr>
          <w:rFonts w:eastAsia="Times New Roman" w:cs="Calibri"/>
          <w:szCs w:val="20"/>
          <w:lang w:eastAsia="es-ES"/>
        </w:rPr>
        <w:t>Insua</w:t>
      </w:r>
      <w:proofErr w:type="spellEnd"/>
      <w:r w:rsidRPr="00DF316A">
        <w:rPr>
          <w:rFonts w:eastAsia="Times New Roman" w:cs="Calibri"/>
          <w:szCs w:val="20"/>
          <w:lang w:eastAsia="es-ES"/>
        </w:rPr>
        <w:t>, sugeriré que todo nuestro problema, teórico y práctico, gira alrededor de un único eje, el de </w:t>
      </w:r>
      <w:r w:rsidRPr="00DF316A">
        <w:rPr>
          <w:rFonts w:eastAsia="Times New Roman" w:cs="Calibri"/>
          <w:b/>
          <w:bCs/>
          <w:szCs w:val="20"/>
          <w:lang w:eastAsia="es-ES"/>
        </w:rPr>
        <w:t>la relación entre Estado y Nación</w:t>
      </w:r>
      <w:r w:rsidRPr="00DF316A">
        <w:rPr>
          <w:rFonts w:eastAsia="Times New Roman" w:cs="Calibri"/>
          <w:szCs w:val="20"/>
          <w:lang w:eastAsia="es-ES"/>
        </w:rPr>
        <w:t>, a cuya dialéctica queda supeditado el asunto de la titularidad de la llamada “</w:t>
      </w:r>
      <w:r w:rsidRPr="00DF316A">
        <w:rPr>
          <w:rFonts w:eastAsia="Times New Roman" w:cs="Calibri"/>
          <w:i/>
          <w:iCs/>
          <w:szCs w:val="20"/>
          <w:lang w:eastAsia="es-ES"/>
        </w:rPr>
        <w:t>Soberanía”,</w:t>
      </w:r>
      <w:r w:rsidRPr="00DF316A">
        <w:rPr>
          <w:rFonts w:eastAsia="Times New Roman" w:cs="Calibri"/>
          <w:szCs w:val="20"/>
          <w:lang w:eastAsia="es-ES"/>
        </w:rPr>
        <w:t> apellidada a la vez “</w:t>
      </w:r>
      <w:r w:rsidRPr="00DF316A">
        <w:rPr>
          <w:rFonts w:eastAsia="Times New Roman" w:cs="Calibri"/>
          <w:i/>
          <w:iCs/>
          <w:szCs w:val="20"/>
          <w:lang w:eastAsia="es-ES"/>
        </w:rPr>
        <w:t>nacional, popular y estatal”</w:t>
      </w:r>
      <w:r w:rsidRPr="00DF316A">
        <w:rPr>
          <w:rFonts w:eastAsia="Times New Roman" w:cs="Calibri"/>
          <w:szCs w:val="20"/>
          <w:lang w:eastAsia="es-ES"/>
        </w:rPr>
        <w:t>, en una confusión inextricable que lleva adonde exactamente no hay que dejarse llevar para partir de una aclaración de los términos en que se plantea originariamente el problema de la legitimación moderna del sistema político.</w:t>
      </w:r>
    </w:p>
    <w:p w:rsidR="00DF316A" w:rsidRPr="00DF316A" w:rsidRDefault="00DF316A" w:rsidP="00DF316A">
      <w:pPr>
        <w:shd w:val="clear" w:color="auto" w:fill="FFFFFF"/>
        <w:rPr>
          <w:rFonts w:eastAsia="Times New Roman" w:cs="Arial"/>
          <w:szCs w:val="20"/>
          <w:lang w:eastAsia="es-ES"/>
        </w:rPr>
      </w:pPr>
      <w:r w:rsidRPr="00DF316A">
        <w:rPr>
          <w:rFonts w:eastAsia="Times New Roman" w:cs="Calibri"/>
          <w:szCs w:val="20"/>
          <w:lang w:eastAsia="es-ES"/>
        </w:rPr>
        <w:t xml:space="preserve">Pedro </w:t>
      </w:r>
      <w:proofErr w:type="spellStart"/>
      <w:r w:rsidRPr="00DF316A">
        <w:rPr>
          <w:rFonts w:eastAsia="Times New Roman" w:cs="Calibri"/>
          <w:szCs w:val="20"/>
          <w:lang w:eastAsia="es-ES"/>
        </w:rPr>
        <w:t>Insua</w:t>
      </w:r>
      <w:proofErr w:type="spellEnd"/>
      <w:r w:rsidRPr="00DF316A">
        <w:rPr>
          <w:rFonts w:eastAsia="Times New Roman" w:cs="Calibri"/>
          <w:szCs w:val="20"/>
          <w:lang w:eastAsia="es-ES"/>
        </w:rPr>
        <w:t xml:space="preserve"> parece confundir Estado y Nación, aun cuando quizás pretenda lo contrario en su intención </w:t>
      </w:r>
      <w:proofErr w:type="spellStart"/>
      <w:r w:rsidRPr="00DF316A">
        <w:rPr>
          <w:rFonts w:eastAsia="Times New Roman" w:cs="Calibri"/>
          <w:szCs w:val="20"/>
          <w:lang w:eastAsia="es-ES"/>
        </w:rPr>
        <w:t>inexpresada</w:t>
      </w:r>
      <w:proofErr w:type="spellEnd"/>
      <w:r w:rsidRPr="00DF316A">
        <w:rPr>
          <w:rFonts w:eastAsia="Times New Roman" w:cs="Calibri"/>
          <w:szCs w:val="20"/>
          <w:lang w:eastAsia="es-ES"/>
        </w:rPr>
        <w:t>, lo que se explica por la aceptación acrítica de la idea de una “</w:t>
      </w:r>
      <w:r w:rsidRPr="00DF316A">
        <w:rPr>
          <w:rFonts w:eastAsia="Times New Roman" w:cs="Calibri"/>
          <w:i/>
          <w:iCs/>
          <w:szCs w:val="20"/>
          <w:lang w:eastAsia="es-ES"/>
        </w:rPr>
        <w:t>Soberanía nacional”, </w:t>
      </w:r>
      <w:r w:rsidRPr="00DF316A">
        <w:rPr>
          <w:rFonts w:eastAsia="Times New Roman" w:cs="Calibri"/>
          <w:szCs w:val="20"/>
          <w:lang w:eastAsia="es-ES"/>
        </w:rPr>
        <w:t>sin definir ni explicitar en ningún sentido. En esa “Soberanía nacional” reside el todavía más inexplorado concepto rousseauniano de una “</w:t>
      </w:r>
      <w:r w:rsidRPr="00DF316A">
        <w:rPr>
          <w:rFonts w:eastAsia="Times New Roman" w:cs="Calibri"/>
          <w:i/>
          <w:iCs/>
          <w:szCs w:val="20"/>
          <w:lang w:eastAsia="es-ES"/>
        </w:rPr>
        <w:t>voluntad general”</w:t>
      </w:r>
      <w:r w:rsidRPr="00DF316A">
        <w:rPr>
          <w:rFonts w:eastAsia="Times New Roman" w:cs="Calibri"/>
          <w:szCs w:val="20"/>
          <w:lang w:eastAsia="es-ES"/>
        </w:rPr>
        <w:t> (“voluntad popular” es su versión exotérica), que actúa como soporte ontológico virtual de la legitimación de la forma de gobierno que en la tradición europea de pensamiento político contemporáneo se concibe y determina a sí misma, sin ningún fundamento “</w:t>
      </w:r>
      <w:r w:rsidRPr="00DF316A">
        <w:rPr>
          <w:rFonts w:eastAsia="Times New Roman" w:cs="Calibri"/>
          <w:i/>
          <w:iCs/>
          <w:szCs w:val="20"/>
          <w:lang w:eastAsia="es-ES"/>
        </w:rPr>
        <w:t>in re”,</w:t>
      </w:r>
      <w:r w:rsidRPr="00DF316A">
        <w:rPr>
          <w:rFonts w:eastAsia="Times New Roman" w:cs="Calibri"/>
          <w:szCs w:val="20"/>
          <w:lang w:eastAsia="es-ES"/>
        </w:rPr>
        <w:t> como “Democracia” (es decir, parlamentarismo anterior a 1945 y Estado de Partidos posterior a 1945).</w:t>
      </w:r>
    </w:p>
    <w:p w:rsidR="00DF316A" w:rsidRPr="00DF316A" w:rsidRDefault="00DF316A" w:rsidP="00DF316A">
      <w:pPr>
        <w:shd w:val="clear" w:color="auto" w:fill="FFFFFF"/>
        <w:rPr>
          <w:rFonts w:eastAsia="Times New Roman" w:cs="Arial"/>
          <w:szCs w:val="20"/>
          <w:lang w:eastAsia="es-ES"/>
        </w:rPr>
      </w:pPr>
      <w:r w:rsidRPr="00DF316A">
        <w:rPr>
          <w:rFonts w:eastAsia="Times New Roman" w:cs="Calibri"/>
          <w:szCs w:val="20"/>
          <w:lang w:eastAsia="es-ES"/>
        </w:rPr>
        <w:t>Debe empezarse por observar lo inquietante: para evocar y fundamentar la propuesta de la ilegalización de las organizaciones políticas secesionistas se acude precisamente a las categorías más discutibles, inspiradas en una teoría el Estado dada por realista y válida universalmente, en un sentido </w:t>
      </w:r>
      <w:proofErr w:type="spellStart"/>
      <w:r w:rsidRPr="00DF316A">
        <w:rPr>
          <w:rFonts w:eastAsia="Times New Roman" w:cs="Calibri"/>
          <w:i/>
          <w:iCs/>
          <w:szCs w:val="20"/>
          <w:lang w:eastAsia="es-ES"/>
        </w:rPr>
        <w:t>trastemporal</w:t>
      </w:r>
      <w:proofErr w:type="spellEnd"/>
      <w:r w:rsidRPr="00DF316A">
        <w:rPr>
          <w:rFonts w:eastAsia="Times New Roman" w:cs="Calibri"/>
          <w:i/>
          <w:iCs/>
          <w:szCs w:val="20"/>
          <w:lang w:eastAsia="es-ES"/>
        </w:rPr>
        <w:t xml:space="preserve"> y </w:t>
      </w:r>
      <w:proofErr w:type="spellStart"/>
      <w:r w:rsidRPr="00DF316A">
        <w:rPr>
          <w:rFonts w:eastAsia="Times New Roman" w:cs="Calibri"/>
          <w:i/>
          <w:iCs/>
          <w:szCs w:val="20"/>
          <w:lang w:eastAsia="es-ES"/>
        </w:rPr>
        <w:t>ahistórico</w:t>
      </w:r>
      <w:proofErr w:type="spellEnd"/>
      <w:r w:rsidRPr="00DF316A">
        <w:rPr>
          <w:rFonts w:eastAsia="Times New Roman" w:cs="Calibri"/>
          <w:szCs w:val="20"/>
          <w:lang w:eastAsia="es-ES"/>
        </w:rPr>
        <w:t>. Que es asimismo el sentido real y simbólico con que también las manejan los defensores de la Constitución del 78 (los llamados “</w:t>
      </w:r>
      <w:r w:rsidRPr="00DF316A">
        <w:rPr>
          <w:rFonts w:eastAsia="Times New Roman" w:cs="Calibri"/>
          <w:i/>
          <w:iCs/>
          <w:szCs w:val="20"/>
          <w:lang w:eastAsia="es-ES"/>
        </w:rPr>
        <w:t>Constitucionalistas” </w:t>
      </w:r>
      <w:r w:rsidRPr="00DF316A">
        <w:rPr>
          <w:rFonts w:eastAsia="Times New Roman" w:cs="Calibri"/>
          <w:szCs w:val="20"/>
          <w:lang w:eastAsia="es-ES"/>
        </w:rPr>
        <w:t>o “</w:t>
      </w:r>
      <w:r w:rsidRPr="00DF316A">
        <w:rPr>
          <w:rFonts w:eastAsia="Times New Roman" w:cs="Calibri"/>
          <w:i/>
          <w:iCs/>
          <w:szCs w:val="20"/>
          <w:lang w:eastAsia="es-ES"/>
        </w:rPr>
        <w:t>bloque constitucional”</w:t>
      </w:r>
      <w:r w:rsidRPr="00DF316A">
        <w:rPr>
          <w:rFonts w:eastAsia="Times New Roman" w:cs="Calibri"/>
          <w:szCs w:val="20"/>
          <w:lang w:eastAsia="es-ES"/>
        </w:rPr>
        <w:t>), en cuyo seno se cobijan, prosperan y se engrandecen los partidos secesionistas, quienes a su vez se apoyan en los mismos supuestos que aquellos que definen el campo de su aparente crítica.</w:t>
      </w:r>
    </w:p>
    <w:p w:rsidR="00DF316A" w:rsidRPr="00DF316A" w:rsidRDefault="00DF316A" w:rsidP="00DF316A">
      <w:pPr>
        <w:shd w:val="clear" w:color="auto" w:fill="FFFFFF"/>
        <w:rPr>
          <w:rFonts w:eastAsia="Times New Roman" w:cs="Arial"/>
          <w:szCs w:val="20"/>
          <w:lang w:eastAsia="es-ES"/>
        </w:rPr>
      </w:pPr>
      <w:r w:rsidRPr="00DF316A">
        <w:rPr>
          <w:rFonts w:eastAsia="Times New Roman" w:cs="Calibri"/>
          <w:szCs w:val="20"/>
          <w:lang w:eastAsia="es-ES"/>
        </w:rPr>
        <w:t>Todos los partidos, secesionistas incluidos, dicen ser </w:t>
      </w:r>
      <w:r w:rsidRPr="00DF316A">
        <w:rPr>
          <w:rFonts w:eastAsia="Times New Roman" w:cs="Calibri"/>
          <w:i/>
          <w:iCs/>
          <w:szCs w:val="20"/>
          <w:lang w:eastAsia="es-ES"/>
        </w:rPr>
        <w:t>titulares, apoderados y portavoces de algo así como una “representación”</w:t>
      </w:r>
      <w:r w:rsidRPr="00DF316A">
        <w:rPr>
          <w:rFonts w:eastAsia="Times New Roman" w:cs="Calibri"/>
          <w:szCs w:val="20"/>
          <w:lang w:eastAsia="es-ES"/>
        </w:rPr>
        <w:t>, por el hecho tautológico de que son efectivamente votados, esto es, </w:t>
      </w:r>
      <w:r w:rsidRPr="00DF316A">
        <w:rPr>
          <w:rFonts w:eastAsia="Times New Roman" w:cs="Calibri"/>
          <w:i/>
          <w:iCs/>
          <w:szCs w:val="20"/>
          <w:lang w:eastAsia="es-ES"/>
        </w:rPr>
        <w:t>sus listas de candidatos al poder legislativo son aprobadas a fin de, a partir de ellas, formar Gobiernos</w:t>
      </w:r>
      <w:r w:rsidRPr="00DF316A">
        <w:rPr>
          <w:rFonts w:eastAsia="Times New Roman" w:cs="Calibri"/>
          <w:szCs w:val="20"/>
          <w:lang w:eastAsia="es-ES"/>
        </w:rPr>
        <w:t xml:space="preserve">. Extraer de ahí alguna realidad verosímil de un principio de representación es complicado, porque los partidos, obviamente, no pueden representar a personas, pues ellos mismos son asociaciones privadas de personas, cuyos intereses de grupo </w:t>
      </w:r>
      <w:r w:rsidRPr="00DF316A">
        <w:rPr>
          <w:rFonts w:eastAsia="Times New Roman" w:cs="Calibri"/>
          <w:szCs w:val="20"/>
          <w:lang w:eastAsia="es-ES"/>
        </w:rPr>
        <w:lastRenderedPageBreak/>
        <w:t>son lo único que se juega en estas votaciones de listas de candidaturas propuestas, al margen y en contra de cualquier principio de representación “personal”.</w:t>
      </w:r>
    </w:p>
    <w:p w:rsidR="00DF316A" w:rsidRPr="00DF316A" w:rsidRDefault="00DF316A" w:rsidP="00DF316A">
      <w:pPr>
        <w:shd w:val="clear" w:color="auto" w:fill="FFFFFF"/>
        <w:rPr>
          <w:rFonts w:eastAsia="Times New Roman" w:cs="Arial"/>
          <w:szCs w:val="20"/>
          <w:lang w:eastAsia="es-ES"/>
        </w:rPr>
      </w:pPr>
      <w:r w:rsidRPr="00DF316A">
        <w:rPr>
          <w:rFonts w:eastAsia="Times New Roman" w:cs="Calibri"/>
          <w:szCs w:val="20"/>
          <w:lang w:eastAsia="es-ES"/>
        </w:rPr>
        <w:t xml:space="preserve">Cierto que Pedro </w:t>
      </w:r>
      <w:proofErr w:type="spellStart"/>
      <w:r w:rsidRPr="00DF316A">
        <w:rPr>
          <w:rFonts w:eastAsia="Times New Roman" w:cs="Calibri"/>
          <w:szCs w:val="20"/>
          <w:lang w:eastAsia="es-ES"/>
        </w:rPr>
        <w:t>Insua</w:t>
      </w:r>
      <w:proofErr w:type="spellEnd"/>
      <w:r w:rsidRPr="00DF316A">
        <w:rPr>
          <w:rFonts w:eastAsia="Times New Roman" w:cs="Calibri"/>
          <w:szCs w:val="20"/>
          <w:lang w:eastAsia="es-ES"/>
        </w:rPr>
        <w:t xml:space="preserve"> sabe que los partidos han </w:t>
      </w:r>
      <w:proofErr w:type="spellStart"/>
      <w:r w:rsidRPr="00DF316A">
        <w:rPr>
          <w:rFonts w:eastAsia="Times New Roman" w:cs="Calibri"/>
          <w:szCs w:val="20"/>
          <w:lang w:eastAsia="es-ES"/>
        </w:rPr>
        <w:t>sido</w:t>
      </w:r>
      <w:r w:rsidRPr="00DF316A">
        <w:rPr>
          <w:rFonts w:eastAsia="Times New Roman" w:cs="Calibri"/>
          <w:i/>
          <w:iCs/>
          <w:szCs w:val="20"/>
          <w:lang w:eastAsia="es-ES"/>
        </w:rPr>
        <w:t>constitucionalizados</w:t>
      </w:r>
      <w:proofErr w:type="spellEnd"/>
      <w:r w:rsidRPr="00DF316A">
        <w:rPr>
          <w:rFonts w:eastAsia="Times New Roman" w:cs="Calibri"/>
          <w:szCs w:val="20"/>
          <w:lang w:eastAsia="es-ES"/>
        </w:rPr>
        <w:t> como </w:t>
      </w:r>
      <w:r w:rsidRPr="00DF316A">
        <w:rPr>
          <w:rFonts w:eastAsia="Times New Roman" w:cs="Calibri"/>
          <w:i/>
          <w:iCs/>
          <w:szCs w:val="20"/>
          <w:lang w:eastAsia="es-ES"/>
        </w:rPr>
        <w:t>órganos del Estado</w:t>
      </w:r>
      <w:r w:rsidRPr="00DF316A">
        <w:rPr>
          <w:rFonts w:eastAsia="Times New Roman" w:cs="Calibri"/>
          <w:szCs w:val="20"/>
          <w:lang w:eastAsia="es-ES"/>
        </w:rPr>
        <w:t xml:space="preserve"> desde 1945, pero no saca las conclusiones lógicas ni quiere ver las consecuencias prácticas de esa específica forma de dominación política, que ya nada tiene que ver con las polvorientas ficciones metafísicas rousseaunianas y las no menos simuladoras doctrinas del viejo parlamentarismo clásico de origen francés, derivado de las sinuosas perversiones operadas por el abate </w:t>
      </w:r>
      <w:proofErr w:type="spellStart"/>
      <w:r w:rsidRPr="00DF316A">
        <w:rPr>
          <w:rFonts w:eastAsia="Times New Roman" w:cs="Calibri"/>
          <w:szCs w:val="20"/>
          <w:lang w:eastAsia="es-ES"/>
        </w:rPr>
        <w:t>Sièyes</w:t>
      </w:r>
      <w:proofErr w:type="spellEnd"/>
      <w:r w:rsidRPr="00DF316A">
        <w:rPr>
          <w:rFonts w:eastAsia="Times New Roman" w:cs="Calibri"/>
          <w:szCs w:val="20"/>
          <w:lang w:eastAsia="es-ES"/>
        </w:rPr>
        <w:t xml:space="preserve"> en torno al concepto de “</w:t>
      </w:r>
      <w:r w:rsidRPr="00DF316A">
        <w:rPr>
          <w:rFonts w:eastAsia="Times New Roman" w:cs="Calibri"/>
          <w:i/>
          <w:iCs/>
          <w:szCs w:val="20"/>
          <w:lang w:eastAsia="es-ES"/>
        </w:rPr>
        <w:t>representación nacional”, </w:t>
      </w:r>
      <w:r w:rsidRPr="00DF316A">
        <w:rPr>
          <w:rFonts w:eastAsia="Times New Roman" w:cs="Calibri"/>
          <w:szCs w:val="20"/>
          <w:lang w:eastAsia="es-ES"/>
        </w:rPr>
        <w:t>necesitada como estaba la burguesía francesa (auto-constituida en poder y grupo constituyente, en ruptura con la tradición estamental de los “Estados Generales”) de darse una nueva base de legitimidad para su nueva tarea histórica.</w:t>
      </w:r>
    </w:p>
    <w:p w:rsidR="00DF316A" w:rsidRPr="00DF316A" w:rsidRDefault="00DF316A" w:rsidP="00DF316A">
      <w:pPr>
        <w:shd w:val="clear" w:color="auto" w:fill="FFFFFF"/>
        <w:rPr>
          <w:rFonts w:eastAsia="Times New Roman" w:cs="Arial"/>
          <w:szCs w:val="20"/>
          <w:lang w:eastAsia="es-ES"/>
        </w:rPr>
      </w:pPr>
      <w:r w:rsidRPr="00DF316A">
        <w:rPr>
          <w:rFonts w:eastAsia="Times New Roman" w:cs="Calibri"/>
          <w:szCs w:val="20"/>
          <w:lang w:eastAsia="es-ES"/>
        </w:rPr>
        <w:t xml:space="preserve">Pedro </w:t>
      </w:r>
      <w:proofErr w:type="spellStart"/>
      <w:r w:rsidRPr="00DF316A">
        <w:rPr>
          <w:rFonts w:eastAsia="Times New Roman" w:cs="Calibri"/>
          <w:szCs w:val="20"/>
          <w:lang w:eastAsia="es-ES"/>
        </w:rPr>
        <w:t>Insua</w:t>
      </w:r>
      <w:proofErr w:type="spellEnd"/>
      <w:r w:rsidRPr="00DF316A">
        <w:rPr>
          <w:rFonts w:eastAsia="Times New Roman" w:cs="Calibri"/>
          <w:szCs w:val="20"/>
          <w:lang w:eastAsia="es-ES"/>
        </w:rPr>
        <w:t xml:space="preserve"> da por válida la idea común de que en las condiciones de desenvolvimiento del sistema político español se produce alguna forma, no aclarada tampoco, de “</w:t>
      </w:r>
      <w:r w:rsidRPr="00DF316A">
        <w:rPr>
          <w:rFonts w:eastAsia="Times New Roman" w:cs="Calibri"/>
          <w:i/>
          <w:iCs/>
          <w:szCs w:val="20"/>
          <w:lang w:eastAsia="es-ES"/>
        </w:rPr>
        <w:t>representación” por los partidos</w:t>
      </w:r>
      <w:r w:rsidRPr="00DF316A">
        <w:rPr>
          <w:rFonts w:eastAsia="Times New Roman" w:cs="Calibri"/>
          <w:szCs w:val="20"/>
          <w:lang w:eastAsia="es-ES"/>
        </w:rPr>
        <w:t xml:space="preserve"> (del Estado, se le olvida recordar </w:t>
      </w:r>
      <w:proofErr w:type="spellStart"/>
      <w:r w:rsidRPr="00DF316A">
        <w:rPr>
          <w:rFonts w:eastAsia="Times New Roman" w:cs="Calibri"/>
          <w:szCs w:val="20"/>
          <w:lang w:eastAsia="es-ES"/>
        </w:rPr>
        <w:t>cuando</w:t>
      </w:r>
      <w:proofErr w:type="spellEnd"/>
      <w:r w:rsidRPr="00DF316A">
        <w:rPr>
          <w:rFonts w:eastAsia="Times New Roman" w:cs="Calibri"/>
          <w:szCs w:val="20"/>
          <w:lang w:eastAsia="es-ES"/>
        </w:rPr>
        <w:t xml:space="preserve"> es más necesario hacerlo) de esa misteriosa “voluntad popular y/o general”, a través de la cual se manifestaría el misterio o milagro secular de la “Soberanía nacional”.</w:t>
      </w:r>
    </w:p>
    <w:p w:rsidR="00DF316A" w:rsidRPr="00DF316A" w:rsidRDefault="00DF316A" w:rsidP="00DF316A">
      <w:pPr>
        <w:shd w:val="clear" w:color="auto" w:fill="FFFFFF"/>
        <w:rPr>
          <w:rFonts w:eastAsia="Times New Roman" w:cs="Arial"/>
          <w:szCs w:val="20"/>
          <w:lang w:eastAsia="es-ES"/>
        </w:rPr>
      </w:pPr>
      <w:r w:rsidRPr="00DF316A">
        <w:rPr>
          <w:rFonts w:eastAsia="Times New Roman" w:cs="Calibri"/>
          <w:szCs w:val="20"/>
          <w:lang w:eastAsia="es-ES"/>
        </w:rPr>
        <w:t>Quizás no estaría demás leer, releer y volver a leer esa delación impagable del más básico hecho político contemporáneo que se exhibe impúdicamente en el texto “</w:t>
      </w:r>
      <w:r w:rsidRPr="00DF316A">
        <w:rPr>
          <w:rFonts w:eastAsia="Times New Roman" w:cs="Calibri"/>
          <w:b/>
          <w:bCs/>
          <w:i/>
          <w:iCs/>
          <w:szCs w:val="20"/>
          <w:lang w:eastAsia="es-ES"/>
        </w:rPr>
        <w:t>Representación e identidad”</w:t>
      </w:r>
      <w:r w:rsidRPr="00DF316A">
        <w:rPr>
          <w:rFonts w:eastAsia="Times New Roman" w:cs="Calibri"/>
          <w:szCs w:val="20"/>
          <w:lang w:eastAsia="es-ES"/>
        </w:rPr>
        <w:t xml:space="preserve"> de Gerhard </w:t>
      </w:r>
      <w:proofErr w:type="spellStart"/>
      <w:r w:rsidRPr="00DF316A">
        <w:rPr>
          <w:rFonts w:eastAsia="Times New Roman" w:cs="Calibri"/>
          <w:szCs w:val="20"/>
          <w:lang w:eastAsia="es-ES"/>
        </w:rPr>
        <w:t>Leibholz</w:t>
      </w:r>
      <w:proofErr w:type="spellEnd"/>
      <w:r w:rsidRPr="00DF316A">
        <w:rPr>
          <w:rFonts w:eastAsia="Times New Roman" w:cs="Calibri"/>
          <w:szCs w:val="20"/>
          <w:lang w:eastAsia="es-ES"/>
        </w:rPr>
        <w:t>, que más adelante habrá que comentar para </w:t>
      </w:r>
      <w:r w:rsidRPr="00DF316A">
        <w:rPr>
          <w:rFonts w:eastAsia="Times New Roman" w:cs="Calibri"/>
          <w:i/>
          <w:iCs/>
          <w:szCs w:val="20"/>
          <w:lang w:eastAsia="es-ES"/>
        </w:rPr>
        <w:t>resituar </w:t>
      </w:r>
      <w:r w:rsidRPr="00DF316A">
        <w:rPr>
          <w:rFonts w:eastAsia="Times New Roman" w:cs="Calibri"/>
          <w:szCs w:val="20"/>
          <w:lang w:eastAsia="es-ES"/>
        </w:rPr>
        <w:t>nuestro problema en su justo horizonte de sentido, más allá o más acá de la fatal peculiaridad española (la peculiaridad de “lo territorial” como campo de juego de las dialécticas de poder y dominación de las facciones estatales que integran </w:t>
      </w:r>
      <w:r w:rsidRPr="00DF316A">
        <w:rPr>
          <w:rFonts w:eastAsia="Times New Roman" w:cs="Calibri"/>
          <w:i/>
          <w:iCs/>
          <w:szCs w:val="20"/>
          <w:lang w:eastAsia="es-ES"/>
        </w:rPr>
        <w:t xml:space="preserve">un Estado </w:t>
      </w:r>
      <w:proofErr w:type="spellStart"/>
      <w:r w:rsidRPr="00DF316A">
        <w:rPr>
          <w:rFonts w:eastAsia="Times New Roman" w:cs="Calibri"/>
          <w:i/>
          <w:iCs/>
          <w:szCs w:val="20"/>
          <w:lang w:eastAsia="es-ES"/>
        </w:rPr>
        <w:t>autofraccionario</w:t>
      </w:r>
      <w:proofErr w:type="spellEnd"/>
      <w:r w:rsidRPr="00DF316A">
        <w:rPr>
          <w:rFonts w:eastAsia="Times New Roman" w:cs="Calibri"/>
          <w:i/>
          <w:iCs/>
          <w:szCs w:val="20"/>
          <w:lang w:eastAsia="es-ES"/>
        </w:rPr>
        <w:t xml:space="preserve"> y </w:t>
      </w:r>
      <w:proofErr w:type="spellStart"/>
      <w:r w:rsidRPr="00DF316A">
        <w:rPr>
          <w:rFonts w:eastAsia="Times New Roman" w:cs="Calibri"/>
          <w:i/>
          <w:iCs/>
          <w:szCs w:val="20"/>
          <w:lang w:eastAsia="es-ES"/>
        </w:rPr>
        <w:t>autofragmentado</w:t>
      </w:r>
      <w:proofErr w:type="spellEnd"/>
      <w:r w:rsidRPr="00DF316A">
        <w:rPr>
          <w:rFonts w:eastAsia="Times New Roman" w:cs="Calibri"/>
          <w:szCs w:val="20"/>
          <w:lang w:eastAsia="es-ES"/>
        </w:rPr>
        <w:t xml:space="preserve"> en </w:t>
      </w:r>
      <w:proofErr w:type="spellStart"/>
      <w:r w:rsidRPr="00DF316A">
        <w:rPr>
          <w:rFonts w:eastAsia="Times New Roman" w:cs="Calibri"/>
          <w:szCs w:val="20"/>
          <w:lang w:eastAsia="es-ES"/>
        </w:rPr>
        <w:t>su</w:t>
      </w:r>
      <w:r w:rsidRPr="00DF316A">
        <w:rPr>
          <w:rFonts w:eastAsia="Times New Roman" w:cs="Calibri"/>
          <w:i/>
          <w:iCs/>
          <w:szCs w:val="20"/>
          <w:lang w:eastAsia="es-ES"/>
        </w:rPr>
        <w:t>soberanía</w:t>
      </w:r>
      <w:proofErr w:type="spellEnd"/>
      <w:r w:rsidRPr="00DF316A">
        <w:rPr>
          <w:rFonts w:eastAsia="Times New Roman" w:cs="Calibri"/>
          <w:i/>
          <w:iCs/>
          <w:szCs w:val="20"/>
          <w:lang w:eastAsia="es-ES"/>
        </w:rPr>
        <w:t xml:space="preserve"> estatal</w:t>
      </w:r>
      <w:r w:rsidRPr="00DF316A">
        <w:rPr>
          <w:rFonts w:eastAsia="Times New Roman" w:cs="Calibri"/>
          <w:szCs w:val="20"/>
          <w:lang w:eastAsia="es-ES"/>
        </w:rPr>
        <w:t> bajo el irreconocible pretexto de la “descentralización administrativa”).</w:t>
      </w:r>
    </w:p>
    <w:p w:rsidR="00DF316A" w:rsidRPr="00DF316A" w:rsidRDefault="00DF316A" w:rsidP="00DF316A">
      <w:pPr>
        <w:shd w:val="clear" w:color="auto" w:fill="FFFFFF"/>
        <w:rPr>
          <w:rFonts w:eastAsia="Times New Roman" w:cs="Arial"/>
          <w:szCs w:val="20"/>
          <w:lang w:eastAsia="es-ES"/>
        </w:rPr>
      </w:pPr>
      <w:r w:rsidRPr="00DF316A">
        <w:rPr>
          <w:rFonts w:eastAsia="Times New Roman" w:cs="Calibri"/>
          <w:szCs w:val="20"/>
          <w:lang w:eastAsia="es-ES"/>
        </w:rPr>
        <w:t>Toda la argumentación, como se observará, gira en una esfera, da vueltas sobre sí misma, se mantiene en la vertical de un eje inquebrantable, sin salida posible a otro campo de juego conceptual, porque es así exactamente como la trama de los conceptos políticos básicos envuelve a sus pobres víctimas desde el momento en que éstas obvian, pasan por alto u olvidan la clave estratégica del asunto, por mucha tensión o gravedad con que queramos envolverlo.</w:t>
      </w:r>
    </w:p>
    <w:p w:rsidR="00DF316A" w:rsidRPr="00DF316A" w:rsidRDefault="00DF316A" w:rsidP="00DF316A">
      <w:pPr>
        <w:shd w:val="clear" w:color="auto" w:fill="FFFFFF"/>
        <w:rPr>
          <w:rFonts w:eastAsia="Times New Roman" w:cs="Arial"/>
          <w:szCs w:val="20"/>
          <w:lang w:eastAsia="es-ES"/>
        </w:rPr>
      </w:pPr>
      <w:r w:rsidRPr="00DF316A">
        <w:rPr>
          <w:rFonts w:eastAsia="Times New Roman" w:cs="Calibri"/>
          <w:szCs w:val="20"/>
          <w:lang w:eastAsia="es-ES"/>
        </w:rPr>
        <w:t>Si los partidos son órganos del Estado, no puede darse jamás una forma cualquiera de “representación” y la “Soberanía” es única, exclusiva y puramente </w:t>
      </w:r>
      <w:r w:rsidRPr="00DF316A">
        <w:rPr>
          <w:rFonts w:eastAsia="Times New Roman" w:cs="Calibri"/>
          <w:i/>
          <w:iCs/>
          <w:szCs w:val="20"/>
          <w:lang w:eastAsia="es-ES"/>
        </w:rPr>
        <w:t>orgánico-estatal,</w:t>
      </w:r>
      <w:r w:rsidRPr="00DF316A">
        <w:rPr>
          <w:rFonts w:eastAsia="Times New Roman" w:cs="Calibri"/>
          <w:szCs w:val="20"/>
          <w:lang w:eastAsia="es-ES"/>
        </w:rPr>
        <w:t> lo mismo que esa opaca y extraña forma de “representación”, que no lo es, y está íntegramente en manos de los efectivos titulares del </w:t>
      </w:r>
      <w:r w:rsidRPr="00DF316A">
        <w:rPr>
          <w:rFonts w:eastAsia="Times New Roman" w:cs="Calibri"/>
          <w:i/>
          <w:iCs/>
          <w:szCs w:val="20"/>
          <w:lang w:eastAsia="es-ES"/>
        </w:rPr>
        <w:t>poder fáctico</w:t>
      </w:r>
      <w:r w:rsidRPr="00DF316A">
        <w:rPr>
          <w:rFonts w:eastAsia="Times New Roman" w:cs="Calibri"/>
          <w:szCs w:val="20"/>
          <w:lang w:eastAsia="es-ES"/>
        </w:rPr>
        <w:t xml:space="preserve"> (en modo alguno jurídico-constitucional) dentro de las propias organizaciones partidistas, que, como al menos reconoce correctamente Pedro </w:t>
      </w:r>
      <w:proofErr w:type="spellStart"/>
      <w:r w:rsidRPr="00DF316A">
        <w:rPr>
          <w:rFonts w:eastAsia="Times New Roman" w:cs="Calibri"/>
          <w:szCs w:val="20"/>
          <w:lang w:eastAsia="es-ES"/>
        </w:rPr>
        <w:t>Insua</w:t>
      </w:r>
      <w:proofErr w:type="spellEnd"/>
      <w:r w:rsidRPr="00DF316A">
        <w:rPr>
          <w:rFonts w:eastAsia="Times New Roman" w:cs="Calibri"/>
          <w:szCs w:val="20"/>
          <w:lang w:eastAsia="es-ES"/>
        </w:rPr>
        <w:t>, son eso y nada más que eso: “</w:t>
      </w:r>
      <w:r w:rsidRPr="00DF316A">
        <w:rPr>
          <w:rFonts w:eastAsia="Times New Roman" w:cs="Calibri"/>
          <w:i/>
          <w:iCs/>
          <w:szCs w:val="20"/>
          <w:lang w:eastAsia="es-ES"/>
        </w:rPr>
        <w:t>facciones” partidistas</w:t>
      </w:r>
      <w:r w:rsidRPr="00DF316A">
        <w:rPr>
          <w:rFonts w:eastAsia="Times New Roman" w:cs="Calibri"/>
          <w:szCs w:val="20"/>
          <w:lang w:eastAsia="es-ES"/>
        </w:rPr>
        <w:t xml:space="preserve">. Ahora bien, lo son todas por igual, secesionistas o no, y ahí reside la paradoja que Pedro </w:t>
      </w:r>
      <w:proofErr w:type="spellStart"/>
      <w:r w:rsidRPr="00DF316A">
        <w:rPr>
          <w:rFonts w:eastAsia="Times New Roman" w:cs="Calibri"/>
          <w:szCs w:val="20"/>
          <w:lang w:eastAsia="es-ES"/>
        </w:rPr>
        <w:t>Insua</w:t>
      </w:r>
      <w:proofErr w:type="spellEnd"/>
      <w:r w:rsidRPr="00DF316A">
        <w:rPr>
          <w:rFonts w:eastAsia="Times New Roman" w:cs="Calibri"/>
          <w:szCs w:val="20"/>
          <w:lang w:eastAsia="es-ES"/>
        </w:rPr>
        <w:t xml:space="preserve"> no ve o no quiere ver o simplemente no desea ver, aun cuando intelectualmente no se mueva impulsado, dentro de una órbita faccionaria más o menos autoconsciente, por las motivaciones que fuere a favor de una de ellas</w:t>
      </w:r>
    </w:p>
    <w:p w:rsidR="00DF316A" w:rsidRPr="00DF316A" w:rsidRDefault="00DF316A" w:rsidP="00DF316A">
      <w:pPr>
        <w:shd w:val="clear" w:color="auto" w:fill="FFFFFF"/>
        <w:rPr>
          <w:rFonts w:eastAsia="Times New Roman" w:cs="Arial"/>
          <w:szCs w:val="20"/>
          <w:lang w:eastAsia="es-ES"/>
        </w:rPr>
      </w:pPr>
      <w:r w:rsidRPr="00DF316A">
        <w:rPr>
          <w:rFonts w:eastAsia="Times New Roman" w:cs="Calibri"/>
          <w:szCs w:val="20"/>
          <w:lang w:eastAsia="es-ES"/>
        </w:rPr>
        <w:t xml:space="preserve">Todos los partidos son facciones, reconoce por fin Pedro </w:t>
      </w:r>
      <w:proofErr w:type="spellStart"/>
      <w:r w:rsidRPr="00DF316A">
        <w:rPr>
          <w:rFonts w:eastAsia="Times New Roman" w:cs="Calibri"/>
          <w:szCs w:val="20"/>
          <w:lang w:eastAsia="es-ES"/>
        </w:rPr>
        <w:t>Insua</w:t>
      </w:r>
      <w:proofErr w:type="spellEnd"/>
      <w:r w:rsidRPr="00DF316A">
        <w:rPr>
          <w:rFonts w:eastAsia="Times New Roman" w:cs="Calibri"/>
          <w:szCs w:val="20"/>
          <w:lang w:eastAsia="es-ES"/>
        </w:rPr>
        <w:t xml:space="preserve">, </w:t>
      </w:r>
      <w:proofErr w:type="spellStart"/>
      <w:r w:rsidRPr="00DF316A">
        <w:rPr>
          <w:rFonts w:eastAsia="Times New Roman" w:cs="Calibri"/>
          <w:szCs w:val="20"/>
          <w:lang w:eastAsia="es-ES"/>
        </w:rPr>
        <w:t>pero</w:t>
      </w:r>
      <w:r w:rsidRPr="00DF316A">
        <w:rPr>
          <w:rFonts w:eastAsia="Times New Roman" w:cs="Calibri"/>
          <w:i/>
          <w:iCs/>
          <w:szCs w:val="20"/>
          <w:lang w:eastAsia="es-ES"/>
        </w:rPr>
        <w:t>facciones</w:t>
      </w:r>
      <w:proofErr w:type="spellEnd"/>
      <w:r w:rsidRPr="00DF316A">
        <w:rPr>
          <w:rFonts w:eastAsia="Times New Roman" w:cs="Calibri"/>
          <w:i/>
          <w:iCs/>
          <w:szCs w:val="20"/>
          <w:lang w:eastAsia="es-ES"/>
        </w:rPr>
        <w:t xml:space="preserve"> dentro del Estado cuya soberanía en tanto hecho puramente estatal ya ha sido a priori fraccionada, distribuida y compartida</w:t>
      </w:r>
      <w:r w:rsidRPr="00DF316A">
        <w:rPr>
          <w:rFonts w:eastAsia="Times New Roman" w:cs="Calibri"/>
          <w:szCs w:val="20"/>
          <w:lang w:eastAsia="es-ES"/>
        </w:rPr>
        <w:t>, eso ya no lo afirma con tanta claridad y reconocimiento el agonista discípulo de Bueno.</w:t>
      </w:r>
    </w:p>
    <w:p w:rsidR="00DF316A" w:rsidRPr="00DF316A" w:rsidRDefault="00DF316A" w:rsidP="00DF316A">
      <w:pPr>
        <w:shd w:val="clear" w:color="auto" w:fill="FFFFFF"/>
        <w:rPr>
          <w:rFonts w:eastAsia="Times New Roman" w:cs="Arial"/>
          <w:szCs w:val="20"/>
          <w:lang w:eastAsia="es-ES"/>
        </w:rPr>
      </w:pPr>
      <w:r w:rsidRPr="00DF316A">
        <w:rPr>
          <w:rFonts w:eastAsia="Times New Roman" w:cs="Calibri"/>
          <w:szCs w:val="20"/>
          <w:lang w:eastAsia="es-ES"/>
        </w:rPr>
        <w:t xml:space="preserve">Que existan facciones que quieran destruir el Estado </w:t>
      </w:r>
      <w:proofErr w:type="spellStart"/>
      <w:r w:rsidRPr="00DF316A">
        <w:rPr>
          <w:rFonts w:eastAsia="Times New Roman" w:cs="Calibri"/>
          <w:szCs w:val="20"/>
          <w:lang w:eastAsia="es-ES"/>
        </w:rPr>
        <w:t>para</w:t>
      </w:r>
      <w:r w:rsidRPr="00DF316A">
        <w:rPr>
          <w:rFonts w:eastAsia="Times New Roman" w:cs="Calibri"/>
          <w:i/>
          <w:iCs/>
          <w:szCs w:val="20"/>
          <w:lang w:eastAsia="es-ES"/>
        </w:rPr>
        <w:t>autodeterminarse</w:t>
      </w:r>
      <w:proofErr w:type="spellEnd"/>
      <w:r w:rsidRPr="00DF316A">
        <w:rPr>
          <w:rFonts w:eastAsia="Times New Roman" w:cs="Calibri"/>
          <w:i/>
          <w:iCs/>
          <w:szCs w:val="20"/>
          <w:lang w:eastAsia="es-ES"/>
        </w:rPr>
        <w:t> </w:t>
      </w:r>
      <w:r w:rsidRPr="00DF316A">
        <w:rPr>
          <w:rFonts w:eastAsia="Times New Roman" w:cs="Calibri"/>
          <w:szCs w:val="20"/>
          <w:lang w:eastAsia="es-ES"/>
        </w:rPr>
        <w:t xml:space="preserve">creando otro Estado, no sólo no es un contrasentido lógico o una contradicción política, llevadas, si se quiere entender así, al límite de la coherencia fáctica, pues hay que comprender que todo este proceso no tiene nada de extraño ni sorprendente, desde el momento en que la totalidad de las funciones y competencias público-estatales, con la multitud indescriptible de los cargos e instituciones “ad hoc” anexos, ahora mismo subastados a viva voz por el inédito </w:t>
      </w:r>
      <w:proofErr w:type="spellStart"/>
      <w:r w:rsidRPr="00DF316A">
        <w:rPr>
          <w:rFonts w:eastAsia="Times New Roman" w:cs="Calibri"/>
          <w:szCs w:val="20"/>
          <w:lang w:eastAsia="es-ES"/>
        </w:rPr>
        <w:t>tesinando</w:t>
      </w:r>
      <w:proofErr w:type="spellEnd"/>
      <w:r w:rsidRPr="00DF316A">
        <w:rPr>
          <w:rFonts w:eastAsia="Times New Roman" w:cs="Calibri"/>
          <w:szCs w:val="20"/>
          <w:lang w:eastAsia="es-ES"/>
        </w:rPr>
        <w:t xml:space="preserve"> y advenedizo “</w:t>
      </w:r>
      <w:r w:rsidRPr="00DF316A">
        <w:rPr>
          <w:rFonts w:eastAsia="Times New Roman" w:cs="Calibri"/>
          <w:i/>
          <w:iCs/>
          <w:szCs w:val="20"/>
          <w:lang w:eastAsia="es-ES"/>
        </w:rPr>
        <w:t xml:space="preserve">homo </w:t>
      </w:r>
      <w:proofErr w:type="spellStart"/>
      <w:r w:rsidRPr="00DF316A">
        <w:rPr>
          <w:rFonts w:eastAsia="Times New Roman" w:cs="Calibri"/>
          <w:i/>
          <w:iCs/>
          <w:szCs w:val="20"/>
          <w:lang w:eastAsia="es-ES"/>
        </w:rPr>
        <w:t>novus</w:t>
      </w:r>
      <w:proofErr w:type="spellEnd"/>
      <w:r w:rsidRPr="00DF316A">
        <w:rPr>
          <w:rFonts w:eastAsia="Times New Roman" w:cs="Calibri"/>
          <w:i/>
          <w:iCs/>
          <w:szCs w:val="20"/>
          <w:lang w:eastAsia="es-ES"/>
        </w:rPr>
        <w:t>”</w:t>
      </w:r>
      <w:r w:rsidRPr="00DF316A">
        <w:rPr>
          <w:rFonts w:eastAsia="Times New Roman" w:cs="Calibri"/>
          <w:szCs w:val="20"/>
          <w:lang w:eastAsia="es-ES"/>
        </w:rPr>
        <w:t xml:space="preserve"> Pedro Sánchez, se distribuyen entre todas las facciones, llegando a </w:t>
      </w:r>
      <w:r w:rsidRPr="00DF316A">
        <w:rPr>
          <w:rFonts w:eastAsia="Times New Roman" w:cs="Calibri"/>
          <w:szCs w:val="20"/>
          <w:lang w:eastAsia="es-ES"/>
        </w:rPr>
        <w:lastRenderedPageBreak/>
        <w:t>un extremo de </w:t>
      </w:r>
      <w:r w:rsidRPr="00DF316A">
        <w:rPr>
          <w:rFonts w:eastAsia="Times New Roman" w:cs="Calibri"/>
          <w:i/>
          <w:iCs/>
          <w:szCs w:val="20"/>
          <w:lang w:eastAsia="es-ES"/>
        </w:rPr>
        <w:t>irracionalidad institucional</w:t>
      </w:r>
      <w:r w:rsidRPr="00DF316A">
        <w:rPr>
          <w:rFonts w:eastAsia="Times New Roman" w:cs="Calibri"/>
          <w:szCs w:val="20"/>
          <w:lang w:eastAsia="es-ES"/>
        </w:rPr>
        <w:t> en la que </w:t>
      </w:r>
      <w:r w:rsidRPr="00DF316A">
        <w:rPr>
          <w:rFonts w:eastAsia="Times New Roman" w:cs="Calibri"/>
          <w:i/>
          <w:iCs/>
          <w:szCs w:val="20"/>
          <w:lang w:eastAsia="es-ES"/>
        </w:rPr>
        <w:t>a priori el Estado ha quedado disuelto </w:t>
      </w:r>
      <w:r w:rsidRPr="00DF316A">
        <w:rPr>
          <w:rFonts w:eastAsia="Times New Roman" w:cs="Calibri"/>
          <w:szCs w:val="20"/>
          <w:lang w:eastAsia="es-ES"/>
        </w:rPr>
        <w:t xml:space="preserve">y reducido a poco más que el residuo nutricio tras la digestión de estas innumerables camarillas que lo han </w:t>
      </w:r>
      <w:proofErr w:type="spellStart"/>
      <w:r w:rsidRPr="00DF316A">
        <w:rPr>
          <w:rFonts w:eastAsia="Times New Roman" w:cs="Calibri"/>
          <w:szCs w:val="20"/>
          <w:lang w:eastAsia="es-ES"/>
        </w:rPr>
        <w:t>patrimonializado</w:t>
      </w:r>
      <w:proofErr w:type="spellEnd"/>
      <w:r w:rsidRPr="00DF316A">
        <w:rPr>
          <w:rFonts w:eastAsia="Times New Roman" w:cs="Calibri"/>
          <w:szCs w:val="20"/>
          <w:lang w:eastAsia="es-ES"/>
        </w:rPr>
        <w:t>.</w:t>
      </w:r>
    </w:p>
    <w:p w:rsidR="00DF316A" w:rsidRPr="00DF316A" w:rsidRDefault="00DF316A" w:rsidP="00DF316A">
      <w:pPr>
        <w:shd w:val="clear" w:color="auto" w:fill="FFFFFF"/>
        <w:rPr>
          <w:rFonts w:eastAsia="Times New Roman" w:cs="Arial"/>
          <w:szCs w:val="20"/>
          <w:lang w:eastAsia="es-ES"/>
        </w:rPr>
      </w:pPr>
      <w:r w:rsidRPr="00DF316A">
        <w:rPr>
          <w:rFonts w:eastAsia="Times New Roman" w:cs="Calibri"/>
          <w:szCs w:val="20"/>
          <w:lang w:eastAsia="es-ES"/>
        </w:rPr>
        <w:t>Y todo esto, es decir, este proceso de demolición del propio Estado, en principio, nada tiene que ver con la Nación en ningún sentido: se trata de una “</w:t>
      </w:r>
      <w:r w:rsidRPr="00DF316A">
        <w:rPr>
          <w:rFonts w:eastAsia="Times New Roman" w:cs="Calibri"/>
          <w:i/>
          <w:iCs/>
          <w:szCs w:val="20"/>
          <w:lang w:eastAsia="es-ES"/>
        </w:rPr>
        <w:t>Operación de Estado”</w:t>
      </w:r>
      <w:r w:rsidRPr="00DF316A">
        <w:rPr>
          <w:rFonts w:eastAsia="Times New Roman" w:cs="Calibri"/>
          <w:szCs w:val="20"/>
          <w:lang w:eastAsia="es-ES"/>
        </w:rPr>
        <w:t> para satisfacer la voluntad omnímoda de las oligarquías instaladas en él, “Operación de Estado” como gusta de llamarse a sí misma la voluntad del encubrimiento delictivo de las tramas de corrupción organizada que abarcan todo el escalafón del Estado español en su integridad, desde la más alta magistratura hasta la más subalterna y parasitaria ocupación administrativa.</w:t>
      </w:r>
    </w:p>
    <w:p w:rsidR="00DF316A" w:rsidRPr="00DF316A" w:rsidRDefault="00DF316A" w:rsidP="00DF316A">
      <w:pPr>
        <w:shd w:val="clear" w:color="auto" w:fill="FFFFFF"/>
        <w:rPr>
          <w:rFonts w:eastAsia="Times New Roman" w:cs="Arial"/>
          <w:szCs w:val="20"/>
          <w:lang w:eastAsia="es-ES"/>
        </w:rPr>
      </w:pPr>
      <w:r w:rsidRPr="00DF316A">
        <w:rPr>
          <w:rFonts w:eastAsia="Times New Roman" w:cs="Calibri"/>
          <w:szCs w:val="20"/>
          <w:lang w:eastAsia="es-ES"/>
        </w:rPr>
        <w:t xml:space="preserve">De toda esta realidad empírica cotidiana, ejemplarmente trasparente por primera vez ahora mismo, tras la moción de censura que ha derribado al Gobierno de Mariano Rajoy, Pedro </w:t>
      </w:r>
      <w:proofErr w:type="spellStart"/>
      <w:r w:rsidRPr="00DF316A">
        <w:rPr>
          <w:rFonts w:eastAsia="Times New Roman" w:cs="Calibri"/>
          <w:szCs w:val="20"/>
          <w:lang w:eastAsia="es-ES"/>
        </w:rPr>
        <w:t>Insua</w:t>
      </w:r>
      <w:proofErr w:type="spellEnd"/>
      <w:r w:rsidRPr="00DF316A">
        <w:rPr>
          <w:rFonts w:eastAsia="Times New Roman" w:cs="Calibri"/>
          <w:szCs w:val="20"/>
          <w:lang w:eastAsia="es-ES"/>
        </w:rPr>
        <w:t xml:space="preserve"> no dice ni una sola palabra, porque tal vez este tipo de consideraciones, las verdaderamente decisivas y perspicaces, lo llevarían a pensar que </w:t>
      </w:r>
      <w:r w:rsidRPr="00DF316A">
        <w:rPr>
          <w:rFonts w:eastAsia="Times New Roman" w:cs="Calibri"/>
          <w:i/>
          <w:iCs/>
          <w:szCs w:val="20"/>
          <w:lang w:eastAsia="es-ES"/>
        </w:rPr>
        <w:t>no sólo los partidos secesionistas merecen ser ilegalizados</w:t>
      </w:r>
      <w:r w:rsidRPr="00DF316A">
        <w:rPr>
          <w:rFonts w:eastAsia="Times New Roman" w:cs="Calibri"/>
          <w:szCs w:val="20"/>
          <w:lang w:eastAsia="es-ES"/>
        </w:rPr>
        <w:t>. Por eso, ahí justamente se detiene nuestro mal nutrido espíritu crítico.</w:t>
      </w:r>
    </w:p>
    <w:p w:rsidR="00DF316A" w:rsidRPr="00DF316A" w:rsidRDefault="00DF316A" w:rsidP="00DF316A">
      <w:pPr>
        <w:shd w:val="clear" w:color="auto" w:fill="FFFFFF"/>
        <w:rPr>
          <w:rFonts w:eastAsia="Times New Roman" w:cs="Calibri"/>
          <w:b/>
          <w:bCs/>
          <w:szCs w:val="20"/>
          <w:lang w:eastAsia="es-ES"/>
        </w:rPr>
      </w:pPr>
    </w:p>
    <w:p w:rsidR="00DF316A" w:rsidRPr="00DF316A" w:rsidRDefault="00DF316A" w:rsidP="00DF316A">
      <w:pPr>
        <w:shd w:val="clear" w:color="auto" w:fill="FFFFFF"/>
        <w:rPr>
          <w:rFonts w:eastAsia="Times New Roman" w:cs="Arial"/>
          <w:szCs w:val="20"/>
          <w:lang w:eastAsia="es-ES"/>
        </w:rPr>
      </w:pPr>
      <w:r w:rsidRPr="00DF316A">
        <w:rPr>
          <w:rFonts w:eastAsia="Times New Roman" w:cs="Calibri"/>
          <w:b/>
          <w:bCs/>
          <w:szCs w:val="20"/>
          <w:lang w:eastAsia="es-ES"/>
        </w:rPr>
        <w:t xml:space="preserve">2. </w:t>
      </w:r>
      <w:r w:rsidRPr="00DF316A">
        <w:rPr>
          <w:rFonts w:eastAsia="Times New Roman" w:cs="Calibri"/>
          <w:szCs w:val="20"/>
          <w:lang w:eastAsia="es-ES"/>
        </w:rPr>
        <w:t xml:space="preserve">Habiendo dejado establecido que los puntos de partida de Pedro </w:t>
      </w:r>
      <w:proofErr w:type="spellStart"/>
      <w:r w:rsidRPr="00DF316A">
        <w:rPr>
          <w:rFonts w:eastAsia="Times New Roman" w:cs="Calibri"/>
          <w:szCs w:val="20"/>
          <w:lang w:eastAsia="es-ES"/>
        </w:rPr>
        <w:t>Insua</w:t>
      </w:r>
      <w:proofErr w:type="spellEnd"/>
      <w:r w:rsidRPr="00DF316A">
        <w:rPr>
          <w:rFonts w:eastAsia="Times New Roman" w:cs="Calibri"/>
          <w:szCs w:val="20"/>
          <w:lang w:eastAsia="es-ES"/>
        </w:rPr>
        <w:t xml:space="preserve"> dentro de la lógica de los conceptos políticos aplicados a la comprensión del sistema político español son muy discutibles por adherirse a una tradición infundada, hay que dirigir la atención a las propuestas propiamente dichas que derivan de tales presupuestos y a su desarrollo argumentativo.</w:t>
      </w:r>
    </w:p>
    <w:p w:rsidR="00DF316A" w:rsidRPr="00DF316A" w:rsidRDefault="00DF316A" w:rsidP="00DF316A">
      <w:pPr>
        <w:shd w:val="clear" w:color="auto" w:fill="FFFFFF"/>
        <w:rPr>
          <w:rFonts w:eastAsia="Times New Roman" w:cs="Arial"/>
          <w:szCs w:val="20"/>
          <w:lang w:eastAsia="es-ES"/>
        </w:rPr>
      </w:pPr>
      <w:r w:rsidRPr="00DF316A">
        <w:rPr>
          <w:rFonts w:eastAsia="Times New Roman" w:cs="Calibri"/>
          <w:szCs w:val="20"/>
          <w:lang w:eastAsia="es-ES"/>
        </w:rPr>
        <w:t xml:space="preserve">En primer lugar, Pedro </w:t>
      </w:r>
      <w:proofErr w:type="spellStart"/>
      <w:r w:rsidRPr="00DF316A">
        <w:rPr>
          <w:rFonts w:eastAsia="Times New Roman" w:cs="Calibri"/>
          <w:szCs w:val="20"/>
          <w:lang w:eastAsia="es-ES"/>
        </w:rPr>
        <w:t>Insua</w:t>
      </w:r>
      <w:proofErr w:type="spellEnd"/>
      <w:r w:rsidRPr="00DF316A">
        <w:rPr>
          <w:rFonts w:eastAsia="Times New Roman" w:cs="Calibri"/>
          <w:szCs w:val="20"/>
          <w:lang w:eastAsia="es-ES"/>
        </w:rPr>
        <w:t xml:space="preserve"> observa con acierto las “limitaciones” que la legalidad española vigente declara en todos sus textos normativos acerca de lo que cabe definir como “</w:t>
      </w:r>
      <w:r w:rsidRPr="00DF316A">
        <w:rPr>
          <w:rFonts w:eastAsia="Times New Roman" w:cs="Calibri"/>
          <w:i/>
          <w:iCs/>
          <w:szCs w:val="20"/>
          <w:lang w:eastAsia="es-ES"/>
        </w:rPr>
        <w:t>secesión”, “grupo secesionista”, “sedición</w:t>
      </w:r>
      <w:proofErr w:type="gramStart"/>
      <w:r w:rsidRPr="00DF316A">
        <w:rPr>
          <w:rFonts w:eastAsia="Times New Roman" w:cs="Calibri"/>
          <w:i/>
          <w:iCs/>
          <w:szCs w:val="20"/>
          <w:lang w:eastAsia="es-ES"/>
        </w:rPr>
        <w:t>”</w:t>
      </w:r>
      <w:r w:rsidRPr="00DF316A">
        <w:rPr>
          <w:rFonts w:eastAsia="Times New Roman" w:cs="Calibri"/>
          <w:szCs w:val="20"/>
          <w:lang w:eastAsia="es-ES"/>
        </w:rPr>
        <w:t> …</w:t>
      </w:r>
      <w:proofErr w:type="gramEnd"/>
      <w:r w:rsidRPr="00DF316A">
        <w:rPr>
          <w:rFonts w:eastAsia="Times New Roman" w:cs="Calibri"/>
          <w:szCs w:val="20"/>
          <w:lang w:eastAsia="es-ES"/>
        </w:rPr>
        <w:t xml:space="preserve"> y podría añadirse “</w:t>
      </w:r>
      <w:r w:rsidRPr="00DF316A">
        <w:rPr>
          <w:rFonts w:eastAsia="Times New Roman" w:cs="Calibri"/>
          <w:i/>
          <w:iCs/>
          <w:szCs w:val="20"/>
          <w:lang w:eastAsia="es-ES"/>
        </w:rPr>
        <w:t>traición”, “conspiración” y “subversión</w:t>
      </w:r>
      <w:r w:rsidRPr="00DF316A">
        <w:rPr>
          <w:rFonts w:eastAsia="Times New Roman" w:cs="Calibri"/>
          <w:szCs w:val="20"/>
          <w:lang w:eastAsia="es-ES"/>
        </w:rPr>
        <w:t>”, si en el ordenamiento legal español del Régimen del 78 quedara alguna huella de estas viejas figuras delictivas contra el orden público y la seguridad del Estado.</w:t>
      </w:r>
    </w:p>
    <w:p w:rsidR="00DF316A" w:rsidRPr="00DF316A" w:rsidRDefault="00DF316A" w:rsidP="00DF316A">
      <w:pPr>
        <w:shd w:val="clear" w:color="auto" w:fill="FFFFFF"/>
        <w:rPr>
          <w:rFonts w:eastAsia="Times New Roman" w:cs="Arial"/>
          <w:szCs w:val="20"/>
          <w:lang w:eastAsia="es-ES"/>
        </w:rPr>
      </w:pPr>
      <w:r w:rsidRPr="00DF316A">
        <w:rPr>
          <w:rFonts w:eastAsia="Times New Roman" w:cs="Calibri"/>
          <w:szCs w:val="20"/>
          <w:lang w:eastAsia="es-ES"/>
        </w:rPr>
        <w:t xml:space="preserve">Ahora bien, no estamos ante una carencia o privación de expresión jurídica de estas bien conocidas formas de manifestación de las siempre posibles alteraciones de las relaciones de poder por la fuerza fáctica dentro de un Estado. Probablemente, Pedro </w:t>
      </w:r>
      <w:proofErr w:type="spellStart"/>
      <w:r w:rsidRPr="00DF316A">
        <w:rPr>
          <w:rFonts w:eastAsia="Times New Roman" w:cs="Calibri"/>
          <w:szCs w:val="20"/>
          <w:lang w:eastAsia="es-ES"/>
        </w:rPr>
        <w:t>Insua</w:t>
      </w:r>
      <w:proofErr w:type="spellEnd"/>
      <w:r w:rsidRPr="00DF316A">
        <w:rPr>
          <w:rFonts w:eastAsia="Times New Roman" w:cs="Calibri"/>
          <w:szCs w:val="20"/>
          <w:lang w:eastAsia="es-ES"/>
        </w:rPr>
        <w:t xml:space="preserve"> padezca el prejuicio, compartido por la mayoría de intelectuales, periodistas y observadores, de considerar que el Estado español dispone de </w:t>
      </w:r>
      <w:r w:rsidRPr="00DF316A">
        <w:rPr>
          <w:rFonts w:eastAsia="Times New Roman" w:cs="Calibri"/>
          <w:i/>
          <w:iCs/>
          <w:szCs w:val="20"/>
          <w:lang w:eastAsia="es-ES"/>
        </w:rPr>
        <w:t xml:space="preserve">medios jurídicos </w:t>
      </w:r>
      <w:proofErr w:type="spellStart"/>
      <w:r w:rsidRPr="00DF316A">
        <w:rPr>
          <w:rFonts w:eastAsia="Times New Roman" w:cs="Calibri"/>
          <w:i/>
          <w:iCs/>
          <w:szCs w:val="20"/>
          <w:lang w:eastAsia="es-ES"/>
        </w:rPr>
        <w:t>reales</w:t>
      </w:r>
      <w:r w:rsidRPr="00DF316A">
        <w:rPr>
          <w:rFonts w:eastAsia="Times New Roman" w:cs="Calibri"/>
          <w:szCs w:val="20"/>
          <w:lang w:eastAsia="es-ES"/>
        </w:rPr>
        <w:t>para</w:t>
      </w:r>
      <w:proofErr w:type="spellEnd"/>
      <w:r w:rsidRPr="00DF316A">
        <w:rPr>
          <w:rFonts w:eastAsia="Times New Roman" w:cs="Calibri"/>
          <w:szCs w:val="20"/>
          <w:lang w:eastAsia="es-ES"/>
        </w:rPr>
        <w:t xml:space="preserve"> enfrentarse a la voluntad abierta de secesión de una parte de su territorio.</w:t>
      </w:r>
    </w:p>
    <w:p w:rsidR="00DF316A" w:rsidRPr="00DF316A" w:rsidRDefault="00DF316A" w:rsidP="00DF316A">
      <w:pPr>
        <w:shd w:val="clear" w:color="auto" w:fill="FFFFFF"/>
        <w:rPr>
          <w:rFonts w:eastAsia="Times New Roman" w:cs="Arial"/>
          <w:szCs w:val="20"/>
          <w:lang w:eastAsia="es-ES"/>
        </w:rPr>
      </w:pPr>
      <w:r w:rsidRPr="00DF316A">
        <w:rPr>
          <w:rFonts w:eastAsia="Times New Roman" w:cs="Calibri"/>
          <w:szCs w:val="20"/>
          <w:lang w:eastAsia="es-ES"/>
        </w:rPr>
        <w:t xml:space="preserve">En el desarrollo de su exposición Pedro </w:t>
      </w:r>
      <w:proofErr w:type="spellStart"/>
      <w:r w:rsidRPr="00DF316A">
        <w:rPr>
          <w:rFonts w:eastAsia="Times New Roman" w:cs="Calibri"/>
          <w:szCs w:val="20"/>
          <w:lang w:eastAsia="es-ES"/>
        </w:rPr>
        <w:t>Insua</w:t>
      </w:r>
      <w:proofErr w:type="spellEnd"/>
      <w:r w:rsidRPr="00DF316A">
        <w:rPr>
          <w:rFonts w:eastAsia="Times New Roman" w:cs="Calibri"/>
          <w:szCs w:val="20"/>
          <w:lang w:eastAsia="es-ES"/>
        </w:rPr>
        <w:t xml:space="preserve"> llega al hallazgo más interesante e innovador de su discurso: el reconocimiento explícito de que se ha producido </w:t>
      </w:r>
      <w:r w:rsidRPr="00DF316A">
        <w:rPr>
          <w:rFonts w:eastAsia="Times New Roman" w:cs="Calibri"/>
          <w:i/>
          <w:iCs/>
          <w:szCs w:val="20"/>
          <w:lang w:eastAsia="es-ES"/>
        </w:rPr>
        <w:t>un lento proceso de “despenalización” de todas estas figuras jurídicas,</w:t>
      </w:r>
      <w:r w:rsidRPr="00DF316A">
        <w:rPr>
          <w:rFonts w:eastAsia="Times New Roman" w:cs="Calibri"/>
          <w:szCs w:val="20"/>
          <w:lang w:eastAsia="es-ES"/>
        </w:rPr>
        <w:t> relacionadas con </w:t>
      </w:r>
      <w:r w:rsidRPr="00DF316A">
        <w:rPr>
          <w:rFonts w:eastAsia="Times New Roman" w:cs="Calibri"/>
          <w:i/>
          <w:iCs/>
          <w:szCs w:val="20"/>
          <w:lang w:eastAsia="es-ES"/>
        </w:rPr>
        <w:t>el principio de territorialidad </w:t>
      </w:r>
      <w:r w:rsidRPr="00DF316A">
        <w:rPr>
          <w:rFonts w:eastAsia="Times New Roman" w:cs="Calibri"/>
          <w:szCs w:val="20"/>
          <w:lang w:eastAsia="es-ES"/>
        </w:rPr>
        <w:t>que define la esencia del Estado en cuanto órgano de su defensa.</w:t>
      </w:r>
    </w:p>
    <w:p w:rsidR="00DF316A" w:rsidRPr="00DF316A" w:rsidRDefault="00DF316A" w:rsidP="00DF316A">
      <w:pPr>
        <w:shd w:val="clear" w:color="auto" w:fill="FFFFFF"/>
        <w:rPr>
          <w:rFonts w:eastAsia="Times New Roman" w:cs="Arial"/>
          <w:szCs w:val="20"/>
          <w:lang w:eastAsia="es-ES"/>
        </w:rPr>
      </w:pPr>
      <w:r w:rsidRPr="00DF316A">
        <w:rPr>
          <w:rFonts w:eastAsia="Times New Roman" w:cs="Calibri"/>
          <w:szCs w:val="20"/>
          <w:lang w:eastAsia="es-ES"/>
        </w:rPr>
        <w:t>Ése, entre otros, es el cometido de la llamada “</w:t>
      </w:r>
      <w:r w:rsidRPr="00DF316A">
        <w:rPr>
          <w:rFonts w:eastAsia="Times New Roman" w:cs="Calibri"/>
          <w:b/>
          <w:bCs/>
          <w:i/>
          <w:iCs/>
          <w:szCs w:val="20"/>
          <w:lang w:eastAsia="es-ES"/>
        </w:rPr>
        <w:t>soberanía” estatal</w:t>
      </w:r>
      <w:r w:rsidRPr="00DF316A">
        <w:rPr>
          <w:rFonts w:eastAsia="Times New Roman" w:cs="Calibri"/>
          <w:szCs w:val="20"/>
          <w:lang w:eastAsia="es-ES"/>
        </w:rPr>
        <w:t>, en modo alguna “nacional”, pues no es la Nación armada la que defiende sus fronteras o lucha contra sus enemigos internos o externos, sino que ello es tarea exclusiva de su aparato formal y profesional, el ejército o fuerza armada del Estado, de ahí la confusión aludida ya al comienzo de esta crítica: </w:t>
      </w:r>
      <w:r w:rsidRPr="00DF316A">
        <w:rPr>
          <w:rFonts w:eastAsia="Times New Roman" w:cs="Calibri"/>
          <w:i/>
          <w:iCs/>
          <w:szCs w:val="20"/>
          <w:lang w:eastAsia="es-ES"/>
        </w:rPr>
        <w:t>la Nación sólo sale a la escena política precisamente cuando su aparato de defensa es quebrantado o destruido</w:t>
      </w:r>
      <w:r w:rsidRPr="00DF316A">
        <w:rPr>
          <w:rFonts w:eastAsia="Times New Roman" w:cs="Calibri"/>
          <w:szCs w:val="20"/>
          <w:lang w:eastAsia="es-ES"/>
        </w:rPr>
        <w:t>, y entonces la propia Nación puede ser aniquilada o desposeída de </w:t>
      </w:r>
      <w:r w:rsidRPr="00DF316A">
        <w:rPr>
          <w:rFonts w:eastAsia="Times New Roman" w:cs="Calibri"/>
          <w:i/>
          <w:iCs/>
          <w:szCs w:val="20"/>
          <w:lang w:eastAsia="es-ES"/>
        </w:rPr>
        <w:t>su soberanía objetiva</w:t>
      </w:r>
      <w:r w:rsidRPr="00DF316A">
        <w:rPr>
          <w:rFonts w:eastAsia="Times New Roman" w:cs="Calibri"/>
          <w:szCs w:val="20"/>
          <w:lang w:eastAsia="es-ES"/>
        </w:rPr>
        <w:t>, es decir, </w:t>
      </w:r>
      <w:r w:rsidRPr="00DF316A">
        <w:rPr>
          <w:rFonts w:eastAsia="Times New Roman" w:cs="Calibri"/>
          <w:i/>
          <w:iCs/>
          <w:szCs w:val="20"/>
          <w:lang w:eastAsia="es-ES"/>
        </w:rPr>
        <w:t>estatal</w:t>
      </w:r>
      <w:r w:rsidRPr="00DF316A">
        <w:rPr>
          <w:rFonts w:eastAsia="Times New Roman" w:cs="Calibri"/>
          <w:szCs w:val="20"/>
          <w:lang w:eastAsia="es-ES"/>
        </w:rPr>
        <w:t>, o bien en un acto de reacción poco común, puede levantarse en armas y organizar ella misma una resistencia que puede conducir a la victoria o a la derrota (</w:t>
      </w:r>
      <w:r w:rsidRPr="00DF316A">
        <w:rPr>
          <w:rFonts w:eastAsia="Times New Roman" w:cs="Calibri"/>
          <w:i/>
          <w:iCs/>
          <w:szCs w:val="20"/>
          <w:lang w:eastAsia="es-ES"/>
        </w:rPr>
        <w:t>soberanía subjetiva</w:t>
      </w:r>
      <w:r w:rsidRPr="00DF316A">
        <w:rPr>
          <w:rFonts w:eastAsia="Times New Roman" w:cs="Calibri"/>
          <w:szCs w:val="20"/>
          <w:lang w:eastAsia="es-ES"/>
        </w:rPr>
        <w:t>, fundacional, y vinculada a </w:t>
      </w:r>
      <w:r w:rsidRPr="00DF316A">
        <w:rPr>
          <w:rFonts w:eastAsia="Times New Roman" w:cs="Calibri"/>
          <w:i/>
          <w:iCs/>
          <w:szCs w:val="20"/>
          <w:lang w:eastAsia="es-ES"/>
        </w:rPr>
        <w:t>la libertad constituyente</w:t>
      </w:r>
      <w:r w:rsidRPr="00DF316A">
        <w:rPr>
          <w:rFonts w:eastAsia="Times New Roman" w:cs="Calibri"/>
          <w:szCs w:val="20"/>
          <w:lang w:eastAsia="es-ES"/>
        </w:rPr>
        <w:t> si la victoria sobre el enemigo determina en acto la forma de Estado y Gobierno bajo determinadas condiciones).</w:t>
      </w:r>
    </w:p>
    <w:p w:rsidR="00DF316A" w:rsidRPr="00DF316A" w:rsidRDefault="00DF316A" w:rsidP="00DF316A">
      <w:pPr>
        <w:shd w:val="clear" w:color="auto" w:fill="FFFFFF"/>
        <w:rPr>
          <w:rFonts w:eastAsia="Times New Roman" w:cs="Arial"/>
          <w:szCs w:val="20"/>
          <w:lang w:eastAsia="es-ES"/>
        </w:rPr>
      </w:pPr>
      <w:r w:rsidRPr="00DF316A">
        <w:rPr>
          <w:rFonts w:eastAsia="Times New Roman" w:cs="Calibri"/>
          <w:szCs w:val="20"/>
          <w:lang w:eastAsia="es-ES"/>
        </w:rPr>
        <w:t xml:space="preserve">Ahora bien, el Estado español que es controlado por el régimen de poder que llamamos “Régimen del 78” no es en modo alguno un Estado “normal” (no se producen tentativas abiertas de secesiones territoriales en Europa occidental de manera habitual…), y las observaciones de Pedro </w:t>
      </w:r>
      <w:proofErr w:type="spellStart"/>
      <w:r w:rsidRPr="00DF316A">
        <w:rPr>
          <w:rFonts w:eastAsia="Times New Roman" w:cs="Calibri"/>
          <w:szCs w:val="20"/>
          <w:lang w:eastAsia="es-ES"/>
        </w:rPr>
        <w:t>Insua</w:t>
      </w:r>
      <w:proofErr w:type="spellEnd"/>
      <w:r w:rsidRPr="00DF316A">
        <w:rPr>
          <w:rFonts w:eastAsia="Times New Roman" w:cs="Calibri"/>
          <w:szCs w:val="20"/>
          <w:lang w:eastAsia="es-ES"/>
        </w:rPr>
        <w:t xml:space="preserve"> sobre ese proceso de “despenalización” de las posiciones, actitudes y organizaciones secesionistas debería haberle hecho percibir exactamente cuál es la </w:t>
      </w:r>
      <w:r w:rsidRPr="00DF316A">
        <w:rPr>
          <w:rFonts w:eastAsia="Times New Roman" w:cs="Calibri"/>
          <w:szCs w:val="20"/>
          <w:lang w:eastAsia="es-ES"/>
        </w:rPr>
        <w:lastRenderedPageBreak/>
        <w:t xml:space="preserve">verdadera naturaleza intrínseca de ese sistema político, pues justo ahí se deja ver de modo trasparente cuál es su intención primera y última, es decir, el sentido de su diseño institucional, indudablemente investido de ciertos propósitos de largo alcance destinados a la conservación de una forma de gobierno y de una estructura de poder con voluntad de constituirse en inalterable. Pedro </w:t>
      </w:r>
      <w:proofErr w:type="spellStart"/>
      <w:r w:rsidRPr="00DF316A">
        <w:rPr>
          <w:rFonts w:eastAsia="Times New Roman" w:cs="Calibri"/>
          <w:szCs w:val="20"/>
          <w:lang w:eastAsia="es-ES"/>
        </w:rPr>
        <w:t>Insua</w:t>
      </w:r>
      <w:proofErr w:type="spellEnd"/>
      <w:r w:rsidRPr="00DF316A">
        <w:rPr>
          <w:rFonts w:eastAsia="Times New Roman" w:cs="Calibri"/>
          <w:szCs w:val="20"/>
          <w:lang w:eastAsia="es-ES"/>
        </w:rPr>
        <w:t xml:space="preserve"> lo roza con las yemas de los dedos, lo olfatea con las fosas nasales, pero al parecer no lo concibe con su perspicaz sentido intelectual, o prefiere no expresarlo públicamente.</w:t>
      </w:r>
    </w:p>
    <w:p w:rsidR="00DF316A" w:rsidRPr="00DF316A" w:rsidRDefault="00DF316A" w:rsidP="00DF316A">
      <w:pPr>
        <w:shd w:val="clear" w:color="auto" w:fill="FFFFFF"/>
        <w:rPr>
          <w:rFonts w:eastAsia="Times New Roman" w:cs="Arial"/>
          <w:szCs w:val="20"/>
          <w:lang w:eastAsia="es-ES"/>
        </w:rPr>
      </w:pPr>
      <w:r w:rsidRPr="00DF316A">
        <w:rPr>
          <w:rFonts w:eastAsia="Times New Roman" w:cs="Calibri"/>
          <w:szCs w:val="20"/>
          <w:lang w:eastAsia="es-ES"/>
        </w:rPr>
        <w:t>No se responde entonces a la cuestión planteada: ¿por qué el Estado español bajo el Régimen del 78, a lo largo de este tortuoso y silente proceso de despenalización de las figuras jurídicas de la secesión territorial, está </w:t>
      </w:r>
      <w:r w:rsidRPr="00DF316A">
        <w:rPr>
          <w:rFonts w:eastAsia="Times New Roman" w:cs="Calibri"/>
          <w:i/>
          <w:iCs/>
          <w:szCs w:val="20"/>
          <w:lang w:eastAsia="es-ES"/>
        </w:rPr>
        <w:t>necesariamente constituido</w:t>
      </w:r>
      <w:r w:rsidRPr="00DF316A">
        <w:rPr>
          <w:rFonts w:eastAsia="Times New Roman" w:cs="Calibri"/>
          <w:szCs w:val="20"/>
          <w:lang w:eastAsia="es-ES"/>
        </w:rPr>
        <w:t xml:space="preserve"> de tal manera y no de otra? Con toda certeza, tal situación anómala no se debe a un azar, no es una dejadez gubernativo-administrativa, no es ni siquiera el producto de una ignorancia jurídica o histórica, no es tampoco una </w:t>
      </w:r>
      <w:proofErr w:type="spellStart"/>
      <w:r w:rsidRPr="00DF316A">
        <w:rPr>
          <w:rFonts w:eastAsia="Times New Roman" w:cs="Calibri"/>
          <w:szCs w:val="20"/>
          <w:lang w:eastAsia="es-ES"/>
        </w:rPr>
        <w:t>omisión</w:t>
      </w:r>
      <w:proofErr w:type="spellEnd"/>
      <w:r w:rsidRPr="00DF316A">
        <w:rPr>
          <w:rFonts w:eastAsia="Times New Roman" w:cs="Calibri"/>
          <w:szCs w:val="20"/>
          <w:lang w:eastAsia="es-ES"/>
        </w:rPr>
        <w:t xml:space="preserve"> legislativa por falta de tiempo o por orden de prioridades. Sólo deshaciendo la confusión entre Estado y Nación política es posible dar una respuesta bien fundada a esta cuestión.</w:t>
      </w:r>
    </w:p>
    <w:p w:rsidR="00DF316A" w:rsidRPr="00DF316A" w:rsidRDefault="00DF316A" w:rsidP="00DF316A">
      <w:pPr>
        <w:shd w:val="clear" w:color="auto" w:fill="FFFFFF"/>
        <w:rPr>
          <w:rFonts w:eastAsia="Times New Roman" w:cs="Arial"/>
          <w:szCs w:val="20"/>
          <w:lang w:eastAsia="es-ES"/>
        </w:rPr>
      </w:pPr>
      <w:r w:rsidRPr="00DF316A">
        <w:rPr>
          <w:rFonts w:eastAsia="Times New Roman" w:cs="Calibri"/>
          <w:szCs w:val="20"/>
          <w:lang w:eastAsia="es-ES"/>
        </w:rPr>
        <w:t>¿Qué funda realmente la legitimidad del poder gubernativo o ejecutivo del Estado a partir de la Constitución de 1978? ¿Qué funda realmente la legitimidad del poder legislativo de los partidos del Estado a partir de la Constitución de 1978? Dado que no se puede responder a estas preguntas, tomadas en serio, con las categorías de derecho político al uso, que son las que fundamentan el discurso del propio Régimen sobre sí mismo, pero en su sentido mistificado e ideológico, es conveniente recurrir a </w:t>
      </w:r>
      <w:r w:rsidRPr="00DF316A">
        <w:rPr>
          <w:rFonts w:eastAsia="Times New Roman" w:cs="Calibri"/>
          <w:i/>
          <w:iCs/>
          <w:szCs w:val="20"/>
          <w:lang w:eastAsia="es-ES"/>
        </w:rPr>
        <w:t>la verdad empírica o fáctica del funcionamiento objetivo del Estado español bajo este Régimen de 1978.</w:t>
      </w:r>
    </w:p>
    <w:p w:rsidR="00DF316A" w:rsidRPr="00DF316A" w:rsidRDefault="00DF316A" w:rsidP="00DF316A">
      <w:pPr>
        <w:shd w:val="clear" w:color="auto" w:fill="FFFFFF"/>
        <w:rPr>
          <w:rFonts w:eastAsia="Times New Roman" w:cs="Arial"/>
          <w:szCs w:val="20"/>
          <w:lang w:eastAsia="es-ES"/>
        </w:rPr>
      </w:pPr>
      <w:r w:rsidRPr="00DF316A">
        <w:rPr>
          <w:rFonts w:eastAsia="Times New Roman" w:cs="Calibri"/>
          <w:szCs w:val="20"/>
          <w:lang w:eastAsia="es-ES"/>
        </w:rPr>
        <w:t>Hay que esforzarse por comprender cuáles son las relaciones de fuerza, poder e influencia que se desencadenan en su interioridad de manera recurrente y regular, configurando así su ley o su específica y muy peculiar “legalidad” interna, que nada tiene que ver con la Legalidad formal y públicamente reconocida como la determinante de las conductas oficiales de los actores. Pues </w:t>
      </w:r>
      <w:r w:rsidRPr="00DF316A">
        <w:rPr>
          <w:rFonts w:eastAsia="Times New Roman" w:cs="Calibri"/>
          <w:i/>
          <w:iCs/>
          <w:szCs w:val="20"/>
          <w:lang w:eastAsia="es-ES"/>
        </w:rPr>
        <w:t>el secreto y la falta total de control del poder sobre sí mismo </w:t>
      </w:r>
      <w:r w:rsidRPr="00DF316A">
        <w:rPr>
          <w:rFonts w:eastAsia="Times New Roman" w:cs="Calibri"/>
          <w:szCs w:val="20"/>
          <w:lang w:eastAsia="es-ES"/>
        </w:rPr>
        <w:t>es la esencia misma de la singular forma española de gobierno oligárquico: esa falta de control, esa ilimitación del poder en manos de unos pocos individuos sólo puede </w:t>
      </w:r>
      <w:r w:rsidRPr="00DF316A">
        <w:rPr>
          <w:rFonts w:eastAsia="Times New Roman" w:cs="Calibri"/>
          <w:i/>
          <w:iCs/>
          <w:szCs w:val="20"/>
          <w:lang w:eastAsia="es-ES"/>
        </w:rPr>
        <w:t>encubrirse y a la vez realizarse</w:t>
      </w:r>
      <w:r w:rsidRPr="00DF316A">
        <w:rPr>
          <w:rFonts w:eastAsia="Times New Roman" w:cs="Calibri"/>
          <w:szCs w:val="20"/>
          <w:lang w:eastAsia="es-ES"/>
        </w:rPr>
        <w:t> mediante la idea de “pacto” o “acuerdo” entre tales individuos, exhibida como “regla de buen gobierno”, cuando es en realidad su más completa antítesis y negación.</w:t>
      </w:r>
    </w:p>
    <w:p w:rsidR="00DF316A" w:rsidRPr="00DF316A" w:rsidRDefault="00DF316A" w:rsidP="00DF316A">
      <w:pPr>
        <w:shd w:val="clear" w:color="auto" w:fill="FFFFFF"/>
        <w:rPr>
          <w:rFonts w:eastAsia="Times New Roman" w:cs="Arial"/>
          <w:szCs w:val="20"/>
          <w:lang w:eastAsia="es-ES"/>
        </w:rPr>
      </w:pPr>
      <w:r w:rsidRPr="00DF316A">
        <w:rPr>
          <w:rFonts w:eastAsia="Times New Roman" w:cs="Calibri"/>
          <w:szCs w:val="20"/>
          <w:lang w:eastAsia="es-ES"/>
        </w:rPr>
        <w:t>Entonces hay que reinscribir todo este proceso de despenalización de las figuras jurídicas en torno al principio de territorialidad y soberanía estatal en la intimidad dinámica inserta en la red de relaciones de poder entre grupos faccionarios cómplices que mantienen su poder compartido (“negociado”) sobre un Estado, que es literalmente </w:t>
      </w:r>
      <w:r w:rsidRPr="00DF316A">
        <w:rPr>
          <w:rFonts w:eastAsia="Times New Roman" w:cs="Calibri"/>
          <w:i/>
          <w:iCs/>
          <w:szCs w:val="20"/>
          <w:lang w:eastAsia="es-ES"/>
        </w:rPr>
        <w:t>su campo de juego simulado</w:t>
      </w:r>
      <w:r w:rsidRPr="00DF316A">
        <w:rPr>
          <w:rFonts w:eastAsia="Times New Roman" w:cs="Calibri"/>
          <w:szCs w:val="20"/>
          <w:lang w:eastAsia="es-ES"/>
        </w:rPr>
        <w:t> </w:t>
      </w:r>
      <w:r w:rsidRPr="00DF316A">
        <w:rPr>
          <w:rFonts w:eastAsia="Times New Roman" w:cs="Calibri"/>
          <w:i/>
          <w:iCs/>
          <w:szCs w:val="20"/>
          <w:lang w:eastAsia="es-ES"/>
        </w:rPr>
        <w:t>en competiciones electorales pre-acordadas y dialécticas ideológicas ficticias.</w:t>
      </w:r>
      <w:r w:rsidRPr="00DF316A">
        <w:rPr>
          <w:rFonts w:eastAsia="Times New Roman" w:cs="Calibri"/>
          <w:szCs w:val="20"/>
          <w:lang w:eastAsia="es-ES"/>
        </w:rPr>
        <w:t> Lo que revela este proceso de despenalización jurídica de las posiciones y movimientos secesionistas es tan sólo el hecho de que </w:t>
      </w:r>
      <w:r w:rsidRPr="00DF316A">
        <w:rPr>
          <w:rFonts w:eastAsia="Times New Roman" w:cs="Calibri"/>
          <w:i/>
          <w:iCs/>
          <w:szCs w:val="20"/>
          <w:lang w:eastAsia="es-ES"/>
        </w:rPr>
        <w:t>los partidos políticos ya han suplantado al Estado como instancia “neutra” de decisión política</w:t>
      </w:r>
      <w:r w:rsidRPr="00DF316A">
        <w:rPr>
          <w:rFonts w:eastAsia="Times New Roman" w:cs="Calibri"/>
          <w:szCs w:val="20"/>
          <w:lang w:eastAsia="es-ES"/>
        </w:rPr>
        <w:t> y han ocupado y distribuido entre ellos incluso la soberanía estatal que determina la unidad y defensa de la entidad territorial que rigen como aparato formal de dominación.</w:t>
      </w:r>
    </w:p>
    <w:p w:rsidR="00DF316A" w:rsidRPr="00DF316A" w:rsidRDefault="00DF316A" w:rsidP="00DF316A">
      <w:pPr>
        <w:shd w:val="clear" w:color="auto" w:fill="FFFFFF"/>
        <w:rPr>
          <w:rFonts w:eastAsia="Times New Roman" w:cs="Arial"/>
          <w:szCs w:val="20"/>
          <w:lang w:eastAsia="es-ES"/>
        </w:rPr>
      </w:pPr>
      <w:r w:rsidRPr="00DF316A">
        <w:rPr>
          <w:rFonts w:eastAsia="Times New Roman" w:cs="Calibri"/>
          <w:szCs w:val="20"/>
          <w:lang w:eastAsia="es-ES"/>
        </w:rPr>
        <w:t xml:space="preserve">Pero ¿cómo es esto posible? Nos volvemos a encontrar con el teórico de los Estados de Partidos, Gerhard </w:t>
      </w:r>
      <w:proofErr w:type="spellStart"/>
      <w:r w:rsidRPr="00DF316A">
        <w:rPr>
          <w:rFonts w:eastAsia="Times New Roman" w:cs="Calibri"/>
          <w:szCs w:val="20"/>
          <w:lang w:eastAsia="es-ES"/>
        </w:rPr>
        <w:t>Leibholz</w:t>
      </w:r>
      <w:proofErr w:type="spellEnd"/>
      <w:r w:rsidRPr="00DF316A">
        <w:rPr>
          <w:rFonts w:eastAsia="Times New Roman" w:cs="Calibri"/>
          <w:szCs w:val="20"/>
          <w:lang w:eastAsia="es-ES"/>
        </w:rPr>
        <w:t>. Este teórico constitucional enunció elegantemente la verdad profunda sobre el tipo de regímenes políticos que pasaron a dominar la esfera de las relaciones institucionales de poder dentro de las sociedades europeo-occidentales a partir de 1945. En España, la instauración de un modelo específico de “</w:t>
      </w:r>
      <w:proofErr w:type="spellStart"/>
      <w:r w:rsidRPr="00DF316A">
        <w:rPr>
          <w:rFonts w:eastAsia="Times New Roman" w:cs="Calibri"/>
          <w:i/>
          <w:iCs/>
          <w:szCs w:val="20"/>
          <w:lang w:eastAsia="es-ES"/>
        </w:rPr>
        <w:t>Staatparteien</w:t>
      </w:r>
      <w:proofErr w:type="spellEnd"/>
      <w:r w:rsidRPr="00DF316A">
        <w:rPr>
          <w:rFonts w:eastAsia="Times New Roman" w:cs="Calibri"/>
          <w:i/>
          <w:iCs/>
          <w:szCs w:val="20"/>
          <w:lang w:eastAsia="es-ES"/>
        </w:rPr>
        <w:t>”</w:t>
      </w:r>
      <w:r w:rsidRPr="00DF316A">
        <w:rPr>
          <w:rFonts w:eastAsia="Times New Roman" w:cs="Calibri"/>
          <w:szCs w:val="20"/>
          <w:lang w:eastAsia="es-ES"/>
        </w:rPr>
        <w:t xml:space="preserve"> a partir de 1976-1978 se consolidó sobre la base de una distribución efectiva de la soberanía estatal y de los mecanismos, ahora por fin </w:t>
      </w:r>
      <w:proofErr w:type="spellStart"/>
      <w:r w:rsidRPr="00DF316A">
        <w:rPr>
          <w:rFonts w:eastAsia="Times New Roman" w:cs="Calibri"/>
          <w:szCs w:val="20"/>
          <w:lang w:eastAsia="es-ES"/>
        </w:rPr>
        <w:t>territorializados</w:t>
      </w:r>
      <w:proofErr w:type="spellEnd"/>
      <w:r w:rsidRPr="00DF316A">
        <w:rPr>
          <w:rFonts w:eastAsia="Times New Roman" w:cs="Calibri"/>
          <w:szCs w:val="20"/>
          <w:lang w:eastAsia="es-ES"/>
        </w:rPr>
        <w:t xml:space="preserve"> a favor de las burguesías periféricas, de integración de las masas en un Estado dominado por los partidos recién legalizados, que heredaron así directamente la forma constitutiva del poder ya existente y practicada durante el Régimen de Franco desde el momento mismo de su instauración: </w:t>
      </w:r>
      <w:r w:rsidRPr="00DF316A">
        <w:rPr>
          <w:rFonts w:eastAsia="Times New Roman" w:cs="Calibri"/>
          <w:i/>
          <w:iCs/>
          <w:szCs w:val="20"/>
          <w:lang w:eastAsia="es-ES"/>
        </w:rPr>
        <w:t xml:space="preserve">un solo poder político estatal, puramente estatal, al margen de toda legitimación democrática desde la Nación política, dividido en </w:t>
      </w:r>
      <w:r w:rsidRPr="00DF316A">
        <w:rPr>
          <w:rFonts w:eastAsia="Times New Roman" w:cs="Calibri"/>
          <w:i/>
          <w:iCs/>
          <w:szCs w:val="20"/>
          <w:lang w:eastAsia="es-ES"/>
        </w:rPr>
        <w:lastRenderedPageBreak/>
        <w:t>funciones técnico-profesionales, con el anexo, ahora novedoso y muy entretenido para la población, de la distribución por cuotas electorales entre los partidos a través de plebiscitos entre los jefes de facción del Estado</w:t>
      </w:r>
      <w:r w:rsidRPr="00DF316A">
        <w:rPr>
          <w:rFonts w:eastAsia="Times New Roman" w:cs="Calibri"/>
          <w:szCs w:val="20"/>
          <w:lang w:eastAsia="es-ES"/>
        </w:rPr>
        <w:t>.</w:t>
      </w:r>
    </w:p>
    <w:p w:rsidR="00DF316A" w:rsidRPr="00DF316A" w:rsidRDefault="00DF316A" w:rsidP="00DF316A">
      <w:pPr>
        <w:shd w:val="clear" w:color="auto" w:fill="FFFFFF"/>
        <w:rPr>
          <w:rFonts w:eastAsia="Times New Roman" w:cs="Arial"/>
          <w:szCs w:val="20"/>
          <w:lang w:eastAsia="es-ES"/>
        </w:rPr>
      </w:pPr>
      <w:r w:rsidRPr="00DF316A">
        <w:rPr>
          <w:rFonts w:eastAsia="Times New Roman" w:cs="Calibri"/>
          <w:szCs w:val="20"/>
          <w:lang w:eastAsia="es-ES"/>
        </w:rPr>
        <w:t>Escenario, por tanto, ideal, para que los partidos nacionalistas se erigiesen en lo que realmente son y no pueden dejar de ser en este peculiar contexto español: </w:t>
      </w:r>
      <w:r w:rsidRPr="00DF316A">
        <w:rPr>
          <w:rFonts w:eastAsia="Times New Roman" w:cs="Calibri"/>
          <w:i/>
          <w:iCs/>
          <w:szCs w:val="20"/>
          <w:lang w:eastAsia="es-ES"/>
        </w:rPr>
        <w:t xml:space="preserve">movimientos faccionarios </w:t>
      </w:r>
      <w:proofErr w:type="spellStart"/>
      <w:r w:rsidRPr="00DF316A">
        <w:rPr>
          <w:rFonts w:eastAsia="Times New Roman" w:cs="Calibri"/>
          <w:i/>
          <w:iCs/>
          <w:szCs w:val="20"/>
          <w:lang w:eastAsia="es-ES"/>
        </w:rPr>
        <w:t>co</w:t>
      </w:r>
      <w:proofErr w:type="spellEnd"/>
      <w:r w:rsidRPr="00DF316A">
        <w:rPr>
          <w:rFonts w:eastAsia="Times New Roman" w:cs="Calibri"/>
          <w:i/>
          <w:iCs/>
          <w:szCs w:val="20"/>
          <w:lang w:eastAsia="es-ES"/>
        </w:rPr>
        <w:t>-soberanos y corregentes que reivindican su correlato de soberanía estatal, esto es, el dominio sobre el territorio.</w:t>
      </w:r>
      <w:r w:rsidRPr="00DF316A">
        <w:rPr>
          <w:rFonts w:eastAsia="Times New Roman" w:cs="Calibri"/>
          <w:szCs w:val="20"/>
          <w:lang w:eastAsia="es-ES"/>
        </w:rPr>
        <w:t> Si se quiere llamar a esto “nacionalismo”, puede hacerse con toda frivolidad y ligereza de concepto de que cada uno se sienta capaz, a condición de reconocer de manera inmediata y consecuente el hecho objetivo de que </w:t>
      </w:r>
      <w:r w:rsidRPr="00DF316A">
        <w:rPr>
          <w:rFonts w:eastAsia="Times New Roman" w:cs="Calibri"/>
          <w:i/>
          <w:iCs/>
          <w:szCs w:val="20"/>
          <w:lang w:eastAsia="es-ES"/>
        </w:rPr>
        <w:t>el Estado de las Autonomías no es más que</w:t>
      </w:r>
      <w:r w:rsidRPr="00DF316A">
        <w:rPr>
          <w:rFonts w:eastAsia="Times New Roman" w:cs="Calibri"/>
          <w:szCs w:val="20"/>
          <w:lang w:eastAsia="es-ES"/>
        </w:rPr>
        <w:t> </w:t>
      </w:r>
      <w:r w:rsidRPr="00DF316A">
        <w:rPr>
          <w:rFonts w:eastAsia="Times New Roman" w:cs="Calibri"/>
          <w:i/>
          <w:iCs/>
          <w:szCs w:val="20"/>
          <w:lang w:eastAsia="es-ES"/>
        </w:rPr>
        <w:t>la pura expresión subjetiva estatalizada de una voluntad de despedazamiento lento pero seguro de una soberanía estatal reasumida faccionariamente,</w:t>
      </w:r>
      <w:r w:rsidRPr="00DF316A">
        <w:rPr>
          <w:rFonts w:eastAsia="Times New Roman" w:cs="Calibri"/>
          <w:szCs w:val="20"/>
          <w:lang w:eastAsia="es-ES"/>
        </w:rPr>
        <w:t> proceso del que simplemente los partidos nacionalistas son la vanguardia y el abanderado que postula con toda lógica el paso siguiente hasta culminar la tendencia inmanente al propio sistema de poder.</w:t>
      </w:r>
    </w:p>
    <w:p w:rsidR="00DF316A" w:rsidRPr="00DF316A" w:rsidRDefault="00DF316A" w:rsidP="00DF316A">
      <w:pPr>
        <w:shd w:val="clear" w:color="auto" w:fill="FFFFFF"/>
        <w:rPr>
          <w:rFonts w:eastAsia="Times New Roman" w:cs="Arial"/>
          <w:szCs w:val="20"/>
          <w:lang w:eastAsia="es-ES"/>
        </w:rPr>
      </w:pPr>
      <w:r w:rsidRPr="00DF316A">
        <w:rPr>
          <w:rFonts w:eastAsia="Times New Roman" w:cs="Calibri"/>
          <w:szCs w:val="20"/>
          <w:lang w:eastAsia="es-ES"/>
        </w:rPr>
        <w:t xml:space="preserve">Todo otro relato sobre el funcionamiento del Régimen de poder vigente en España es mitología y mucho me temo que, desde el concreto punto de su efectividad política, el discurso crítico de Pedro </w:t>
      </w:r>
      <w:proofErr w:type="spellStart"/>
      <w:r w:rsidRPr="00DF316A">
        <w:rPr>
          <w:rFonts w:eastAsia="Times New Roman" w:cs="Calibri"/>
          <w:szCs w:val="20"/>
          <w:lang w:eastAsia="es-ES"/>
        </w:rPr>
        <w:t>Insua</w:t>
      </w:r>
      <w:proofErr w:type="spellEnd"/>
      <w:r w:rsidRPr="00DF316A">
        <w:rPr>
          <w:rFonts w:eastAsia="Times New Roman" w:cs="Calibri"/>
          <w:szCs w:val="20"/>
          <w:lang w:eastAsia="es-ES"/>
        </w:rPr>
        <w:t>, como todo el resto del </w:t>
      </w:r>
      <w:r w:rsidRPr="00DF316A">
        <w:rPr>
          <w:rFonts w:eastAsia="Times New Roman" w:cs="Calibri"/>
          <w:i/>
          <w:iCs/>
          <w:szCs w:val="20"/>
          <w:lang w:eastAsia="es-ES"/>
        </w:rPr>
        <w:t>discurso “constitucionalista” y/o “españolista”,</w:t>
      </w:r>
      <w:r w:rsidRPr="00DF316A">
        <w:rPr>
          <w:rFonts w:eastAsia="Times New Roman" w:cs="Calibri"/>
          <w:szCs w:val="20"/>
          <w:lang w:eastAsia="es-ES"/>
        </w:rPr>
        <w:t> no dista mucho del cuento infantil de Caperucita roja y el lobo feroz que se narra a los niños-súbditos para hacerles creíble su miserable condición de receptores pasivos e idiotizados de fábulas morales apenas edificantes.</w:t>
      </w:r>
    </w:p>
    <w:p w:rsidR="00DF316A" w:rsidRPr="00DF316A" w:rsidRDefault="00DF316A" w:rsidP="00DF316A">
      <w:pPr>
        <w:shd w:val="clear" w:color="auto" w:fill="FFFFFF"/>
        <w:rPr>
          <w:rFonts w:eastAsia="Times New Roman" w:cs="Calibri"/>
          <w:b/>
          <w:bCs/>
          <w:szCs w:val="20"/>
          <w:lang w:eastAsia="es-ES"/>
        </w:rPr>
      </w:pPr>
    </w:p>
    <w:p w:rsidR="00DF316A" w:rsidRPr="00DF316A" w:rsidRDefault="00DF316A" w:rsidP="00DF316A">
      <w:pPr>
        <w:shd w:val="clear" w:color="auto" w:fill="FFFFFF"/>
        <w:rPr>
          <w:rFonts w:eastAsia="Times New Roman" w:cs="Arial"/>
          <w:szCs w:val="20"/>
          <w:lang w:eastAsia="es-ES"/>
        </w:rPr>
      </w:pPr>
      <w:r w:rsidRPr="00DF316A">
        <w:rPr>
          <w:rFonts w:eastAsia="Times New Roman" w:cs="Calibri"/>
          <w:b/>
          <w:bCs/>
          <w:szCs w:val="20"/>
          <w:lang w:eastAsia="es-ES"/>
        </w:rPr>
        <w:t xml:space="preserve">3. </w:t>
      </w:r>
      <w:r w:rsidRPr="00DF316A">
        <w:rPr>
          <w:rFonts w:eastAsia="Times New Roman" w:cs="Calibri"/>
          <w:szCs w:val="20"/>
          <w:lang w:eastAsia="es-ES"/>
        </w:rPr>
        <w:t xml:space="preserve">Ciertamente, hay un problema político de primer rango, sin duda creado “ex </w:t>
      </w:r>
      <w:proofErr w:type="spellStart"/>
      <w:r w:rsidRPr="00DF316A">
        <w:rPr>
          <w:rFonts w:eastAsia="Times New Roman" w:cs="Calibri"/>
          <w:szCs w:val="20"/>
          <w:lang w:eastAsia="es-ES"/>
        </w:rPr>
        <w:t>novo</w:t>
      </w:r>
      <w:proofErr w:type="spellEnd"/>
      <w:r w:rsidRPr="00DF316A">
        <w:rPr>
          <w:rFonts w:eastAsia="Times New Roman" w:cs="Calibri"/>
          <w:szCs w:val="20"/>
          <w:lang w:eastAsia="es-ES"/>
        </w:rPr>
        <w:t>” por la constitución del poder bajo las condiciones del Régimen vigente. Desde todas las instancias del Régimen del 78 se dice o al menos se reconoce explícitamente: “Hay dos millones de españoles en Cataluña partidarios de la secesión territorial y/o de la instauración de un nuevo Estado catalán independiente”. Se añade: “El problema como tal es irresoluble, por ello conviene darle una respuesta adecuada”. En la lógica del Estado de Partidos español, esa respuesta sólo puede significar una y la misma cosa: “integrar” por consenso, pacto, acuerdo y negociación, siempre abierta a nuevos términos, a esa “población”, esto es, dar más campo de juego dentro del Estado al grupo faccionario que la utiliza en su pugna en el bloque oligárquico de poder.</w:t>
      </w:r>
    </w:p>
    <w:p w:rsidR="00DF316A" w:rsidRPr="00DF316A" w:rsidRDefault="00DF316A" w:rsidP="00DF316A">
      <w:pPr>
        <w:shd w:val="clear" w:color="auto" w:fill="FFFFFF"/>
        <w:rPr>
          <w:rFonts w:eastAsia="Times New Roman" w:cs="Arial"/>
          <w:szCs w:val="20"/>
          <w:lang w:eastAsia="es-ES"/>
        </w:rPr>
      </w:pPr>
      <w:r w:rsidRPr="00DF316A">
        <w:rPr>
          <w:rFonts w:eastAsia="Times New Roman" w:cs="Calibri"/>
          <w:szCs w:val="20"/>
          <w:lang w:eastAsia="es-ES"/>
        </w:rPr>
        <w:t>Desde los aledaños y los márgenes ideológicos dentro del propio Régimen actual, aceptando ya sea su supuesta legitimidad “democrática”, ya sea criticando su “fundamentalismo democrático”, se sitúan las posiciones de los que se encuentran en la órbita “extra muros” de la “derecha oficial” integrada en partidos estatales, con o sin representación parlamentaria, como el PP o Ciudadanos, e incluso igualmente Vox. Pienso, como mejores ejemplos de estas posturas, en todo ese horizonte ideológico encarnado en asociaciones como “</w:t>
      </w:r>
      <w:r w:rsidRPr="00DF316A">
        <w:rPr>
          <w:rFonts w:eastAsia="Times New Roman" w:cs="Calibri"/>
          <w:i/>
          <w:iCs/>
          <w:szCs w:val="20"/>
          <w:lang w:eastAsia="es-ES"/>
        </w:rPr>
        <w:t>Libres e Iguales”</w:t>
      </w:r>
      <w:r w:rsidRPr="00DF316A">
        <w:rPr>
          <w:rFonts w:eastAsia="Times New Roman" w:cs="Calibri"/>
          <w:szCs w:val="20"/>
          <w:lang w:eastAsia="es-ES"/>
        </w:rPr>
        <w:t xml:space="preserve"> con la aristocrática Cayetana Álvarez de Toledo a la cabeza o la Fundación DENAES, con su nuevo director Iván Vélez, conspicuo </w:t>
      </w:r>
      <w:proofErr w:type="spellStart"/>
      <w:r w:rsidRPr="00DF316A">
        <w:rPr>
          <w:rFonts w:eastAsia="Times New Roman" w:cs="Calibri"/>
          <w:szCs w:val="20"/>
          <w:lang w:eastAsia="es-ES"/>
        </w:rPr>
        <w:t>buenista</w:t>
      </w:r>
      <w:proofErr w:type="spellEnd"/>
      <w:r w:rsidRPr="00DF316A">
        <w:rPr>
          <w:rFonts w:eastAsia="Times New Roman" w:cs="Calibri"/>
          <w:szCs w:val="20"/>
          <w:lang w:eastAsia="es-ES"/>
        </w:rPr>
        <w:t xml:space="preserve"> vocacional.</w:t>
      </w:r>
    </w:p>
    <w:p w:rsidR="00DF316A" w:rsidRPr="00DF316A" w:rsidRDefault="00DF316A" w:rsidP="00DF316A">
      <w:pPr>
        <w:shd w:val="clear" w:color="auto" w:fill="FFFFFF"/>
        <w:rPr>
          <w:rFonts w:eastAsia="Times New Roman" w:cs="Arial"/>
          <w:szCs w:val="20"/>
          <w:lang w:eastAsia="es-ES"/>
        </w:rPr>
      </w:pPr>
      <w:r w:rsidRPr="00DF316A">
        <w:rPr>
          <w:rFonts w:eastAsia="Times New Roman" w:cs="Calibri"/>
          <w:szCs w:val="20"/>
          <w:lang w:eastAsia="es-ES"/>
        </w:rPr>
        <w:t>Todas estas posiciones defienden la Constitución de 1978 y no cuestionan sus principios y los fundamentos de la constitución del poder que derivan de ellos, aunque juiciosamente adviertan de algunos de sus “peligros, concesiones o debilidades” a las llamadas “fuerzas centrífugas”. No cuestionan por tanto la relación establecida entre la Nación política y su Estado, razón por la cual no están en condiciones de ofrecer nada realmente digno de reflexión, salvo un discurso crítico, ciertamente contundente y bien fundado en muchas de sus expresiones, pero basado en atavismos reivindicativos de </w:t>
      </w:r>
      <w:r w:rsidRPr="00DF316A">
        <w:rPr>
          <w:rFonts w:eastAsia="Times New Roman" w:cs="Calibri"/>
          <w:i/>
          <w:iCs/>
          <w:szCs w:val="20"/>
          <w:lang w:eastAsia="es-ES"/>
        </w:rPr>
        <w:t>una Nación histórica, cultural y política constituida sin libertad política efectiva.</w:t>
      </w:r>
    </w:p>
    <w:p w:rsidR="00DF316A" w:rsidRPr="00DF316A" w:rsidRDefault="00DF316A" w:rsidP="00DF316A">
      <w:pPr>
        <w:shd w:val="clear" w:color="auto" w:fill="FFFFFF"/>
        <w:rPr>
          <w:rFonts w:eastAsia="Times New Roman" w:cs="Arial"/>
          <w:szCs w:val="20"/>
          <w:lang w:eastAsia="es-ES"/>
        </w:rPr>
      </w:pPr>
      <w:r w:rsidRPr="00DF316A">
        <w:rPr>
          <w:rFonts w:eastAsia="Times New Roman" w:cs="Calibri"/>
          <w:szCs w:val="20"/>
          <w:lang w:eastAsia="es-ES"/>
        </w:rPr>
        <w:t xml:space="preserve">Esta reactividad, exhibida en variadas gesticulaciones crítico-retóricas de tipo “revisionista” sobre el pasado historiográfico español, siempre va a la zaga de la vanguardia ideológica del Régimen, que cabe entender como un acabado proyecto </w:t>
      </w:r>
      <w:proofErr w:type="spellStart"/>
      <w:r w:rsidRPr="00DF316A">
        <w:rPr>
          <w:rFonts w:eastAsia="Times New Roman" w:cs="Calibri"/>
          <w:szCs w:val="20"/>
          <w:lang w:eastAsia="es-ES"/>
        </w:rPr>
        <w:t>desnacionalizador</w:t>
      </w:r>
      <w:proofErr w:type="spellEnd"/>
      <w:r w:rsidRPr="00DF316A">
        <w:rPr>
          <w:rFonts w:eastAsia="Times New Roman" w:cs="Calibri"/>
          <w:szCs w:val="20"/>
          <w:lang w:eastAsia="es-ES"/>
        </w:rPr>
        <w:t xml:space="preserve"> a gran escala y con todos los medios materiales a su disposición y en su favor. En todas estas temáticas se </w:t>
      </w:r>
      <w:r w:rsidRPr="00DF316A">
        <w:rPr>
          <w:rFonts w:eastAsia="Times New Roman" w:cs="Calibri"/>
          <w:szCs w:val="20"/>
          <w:lang w:eastAsia="es-ES"/>
        </w:rPr>
        <w:lastRenderedPageBreak/>
        <w:t>advierte siempre </w:t>
      </w:r>
      <w:r w:rsidRPr="00DF316A">
        <w:rPr>
          <w:rFonts w:eastAsia="Times New Roman" w:cs="Calibri"/>
          <w:i/>
          <w:iCs/>
          <w:szCs w:val="20"/>
          <w:lang w:eastAsia="es-ES"/>
        </w:rPr>
        <w:t>la carencia fundamental de una dialéctica de oposición frontal al sistema de valores e imágenes a través del cual el Régimen del 78 integra y socializa a la población en un proyecto estratégico de vasto adiestramiento disciplinario</w:t>
      </w:r>
      <w:r w:rsidRPr="00DF316A">
        <w:rPr>
          <w:rFonts w:eastAsia="Times New Roman" w:cs="Calibri"/>
          <w:szCs w:val="20"/>
          <w:lang w:eastAsia="es-ES"/>
        </w:rPr>
        <w:t>, a fin de promover un tipo específico de dominación de clase cuyos pivotes son la Monarquía como ficción para la garantía institucional de una muy precaria y casi metafísica “unidad nacional”, el Estado Autonómico como método de expolio consentido y la Oligarquía de Partidos del Estado como forma indubitable de Gobierno.</w:t>
      </w:r>
    </w:p>
    <w:p w:rsidR="004D67CE" w:rsidRPr="00DF316A" w:rsidRDefault="004D67CE" w:rsidP="00DF316A">
      <w:pPr>
        <w:rPr>
          <w:szCs w:val="20"/>
        </w:rPr>
      </w:pPr>
    </w:p>
    <w:sectPr w:rsidR="004D67CE" w:rsidRPr="00DF316A"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883D50"/>
    <w:multiLevelType w:val="hybridMultilevel"/>
    <w:tmpl w:val="7D6ACBCA"/>
    <w:lvl w:ilvl="0" w:tplc="AC2A4230">
      <w:start w:val="1"/>
      <w:numFmt w:val="decimal"/>
      <w:lvlText w:val="%1."/>
      <w:lvlJc w:val="left"/>
      <w:pPr>
        <w:ind w:left="720" w:hanging="360"/>
      </w:pPr>
      <w:rPr>
        <w:rFonts w:cs="Calibr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F316A"/>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5331F1"/>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316A"/>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paragraph" w:styleId="Ttulo1">
    <w:name w:val="heading 1"/>
    <w:basedOn w:val="Normal"/>
    <w:link w:val="Ttulo1Car"/>
    <w:uiPriority w:val="9"/>
    <w:qFormat/>
    <w:rsid w:val="00DF316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F316A"/>
    <w:rPr>
      <w:rFonts w:ascii="Times New Roman" w:eastAsia="Times New Roman" w:hAnsi="Times New Roman" w:cs="Times New Roman"/>
      <w:b/>
      <w:bCs/>
      <w:kern w:val="36"/>
      <w:sz w:val="48"/>
      <w:szCs w:val="48"/>
      <w:lang w:eastAsia="es-ES"/>
    </w:rPr>
  </w:style>
  <w:style w:type="character" w:customStyle="1" w:styleId="byline">
    <w:name w:val="byline"/>
    <w:basedOn w:val="Fuentedeprrafopredeter"/>
    <w:rsid w:val="00DF316A"/>
  </w:style>
  <w:style w:type="character" w:styleId="Hipervnculo">
    <w:name w:val="Hyperlink"/>
    <w:basedOn w:val="Fuentedeprrafopredeter"/>
    <w:uiPriority w:val="99"/>
    <w:semiHidden/>
    <w:unhideWhenUsed/>
    <w:rsid w:val="00DF316A"/>
    <w:rPr>
      <w:color w:val="0000FF"/>
      <w:u w:val="single"/>
    </w:rPr>
  </w:style>
  <w:style w:type="character" w:customStyle="1" w:styleId="posted-on">
    <w:name w:val="posted-on"/>
    <w:basedOn w:val="Fuentedeprrafopredeter"/>
    <w:rsid w:val="00DF316A"/>
  </w:style>
  <w:style w:type="character" w:customStyle="1" w:styleId="screen-reader-text">
    <w:name w:val="screen-reader-text"/>
    <w:basedOn w:val="Fuentedeprrafopredeter"/>
    <w:rsid w:val="00DF316A"/>
  </w:style>
  <w:style w:type="paragraph" w:styleId="NormalWeb">
    <w:name w:val="Normal (Web)"/>
    <w:basedOn w:val="Normal"/>
    <w:uiPriority w:val="99"/>
    <w:semiHidden/>
    <w:unhideWhenUsed/>
    <w:rsid w:val="00DF316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DF316A"/>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316A"/>
    <w:rPr>
      <w:rFonts w:ascii="Tahoma" w:hAnsi="Tahoma" w:cs="Tahoma"/>
      <w:sz w:val="16"/>
      <w:szCs w:val="16"/>
    </w:rPr>
  </w:style>
  <w:style w:type="paragraph" w:styleId="Prrafodelista">
    <w:name w:val="List Paragraph"/>
    <w:basedOn w:val="Normal"/>
    <w:uiPriority w:val="34"/>
    <w:qFormat/>
    <w:rsid w:val="00DF316A"/>
    <w:pPr>
      <w:ind w:left="720"/>
      <w:contextualSpacing/>
    </w:pPr>
  </w:style>
</w:styles>
</file>

<file path=word/webSettings.xml><?xml version="1.0" encoding="utf-8"?>
<w:webSettings xmlns:r="http://schemas.openxmlformats.org/officeDocument/2006/relationships" xmlns:w="http://schemas.openxmlformats.org/wordprocessingml/2006/main">
  <w:divs>
    <w:div w:id="1549150116">
      <w:bodyDiv w:val="1"/>
      <w:marLeft w:val="0"/>
      <w:marRight w:val="0"/>
      <w:marTop w:val="0"/>
      <w:marBottom w:val="0"/>
      <w:divBdr>
        <w:top w:val="none" w:sz="0" w:space="0" w:color="auto"/>
        <w:left w:val="none" w:sz="0" w:space="0" w:color="auto"/>
        <w:bottom w:val="none" w:sz="0" w:space="0" w:color="auto"/>
        <w:right w:val="none" w:sz="0" w:space="0" w:color="auto"/>
      </w:divBdr>
      <w:divsChild>
        <w:div w:id="1701324401">
          <w:marLeft w:val="0"/>
          <w:marRight w:val="0"/>
          <w:marTop w:val="495"/>
          <w:marBottom w:val="0"/>
          <w:divBdr>
            <w:top w:val="none" w:sz="0" w:space="0" w:color="auto"/>
            <w:left w:val="none" w:sz="0" w:space="0" w:color="auto"/>
            <w:bottom w:val="none" w:sz="0" w:space="0" w:color="auto"/>
            <w:right w:val="none" w:sz="0" w:space="0" w:color="auto"/>
          </w:divBdr>
          <w:divsChild>
            <w:div w:id="534270437">
              <w:marLeft w:val="0"/>
              <w:marRight w:val="0"/>
              <w:marTop w:val="0"/>
              <w:marBottom w:val="0"/>
              <w:divBdr>
                <w:top w:val="none" w:sz="0" w:space="0" w:color="auto"/>
                <w:left w:val="none" w:sz="0" w:space="0" w:color="auto"/>
                <w:bottom w:val="none" w:sz="0" w:space="0" w:color="auto"/>
                <w:right w:val="none" w:sz="0" w:space="0" w:color="auto"/>
              </w:divBdr>
            </w:div>
            <w:div w:id="1406490379">
              <w:marLeft w:val="420"/>
              <w:marRight w:val="0"/>
              <w:marTop w:val="0"/>
              <w:marBottom w:val="0"/>
              <w:divBdr>
                <w:top w:val="none" w:sz="0" w:space="0" w:color="auto"/>
                <w:left w:val="single" w:sz="6" w:space="21" w:color="E5E5E5"/>
                <w:bottom w:val="none" w:sz="0" w:space="0" w:color="auto"/>
                <w:right w:val="none" w:sz="0" w:space="0" w:color="auto"/>
              </w:divBdr>
            </w:div>
          </w:divsChild>
        </w:div>
        <w:div w:id="285353962">
          <w:marLeft w:val="0"/>
          <w:marRight w:val="0"/>
          <w:marTop w:val="0"/>
          <w:marBottom w:val="0"/>
          <w:divBdr>
            <w:top w:val="none" w:sz="0" w:space="0" w:color="auto"/>
            <w:left w:val="none" w:sz="0" w:space="0" w:color="auto"/>
            <w:bottom w:val="none" w:sz="0" w:space="0" w:color="auto"/>
            <w:right w:val="none" w:sz="0" w:space="0" w:color="auto"/>
          </w:divBdr>
          <w:divsChild>
            <w:div w:id="134377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riquevargas.blog/author/monarcomaco/" TargetMode="External"/><Relationship Id="rId5" Type="http://schemas.openxmlformats.org/officeDocument/2006/relationships/hyperlink" Target="https://enriquevargas.blog/2018/07/24/observaciones-sobre-la-propuesta-de-ilegalizacion-de-los-partidos-secesionista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3382</Words>
  <Characters>18605</Characters>
  <Application>Microsoft Office Word</Application>
  <DocSecurity>0</DocSecurity>
  <Lines>155</Lines>
  <Paragraphs>43</Paragraphs>
  <ScaleCrop>false</ScaleCrop>
  <Company/>
  <LinksUpToDate>false</LinksUpToDate>
  <CharactersWithSpaces>21944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2019-03-18T18:00:00Z</dcterms:created>
  <dcterms:modified xsi:type="dcterms:W3CDTF">2019-03-18T18:03:00Z</dcterms:modified>
</cp:coreProperties>
</file>