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DF" w:rsidRDefault="008842DF" w:rsidP="008842DF">
      <w:pPr>
        <w:outlineLvl w:val="3"/>
        <w:rPr>
          <w:rFonts w:eastAsia="Times New Roman"/>
          <w:b/>
          <w:szCs w:val="20"/>
        </w:rPr>
      </w:pPr>
      <w:r w:rsidRPr="008842DF">
        <w:rPr>
          <w:rFonts w:eastAsia="Times New Roman"/>
          <w:b/>
          <w:szCs w:val="20"/>
        </w:rPr>
        <w:t>CASO SOGECABLE</w:t>
      </w:r>
    </w:p>
    <w:p w:rsidR="008842DF" w:rsidRPr="008842DF" w:rsidRDefault="008842DF" w:rsidP="008842DF">
      <w:pPr>
        <w:outlineLvl w:val="3"/>
        <w:rPr>
          <w:rFonts w:eastAsia="Times New Roman"/>
          <w:b/>
          <w:szCs w:val="20"/>
        </w:rPr>
      </w:pPr>
    </w:p>
    <w:p w:rsidR="008842DF" w:rsidRPr="008842DF" w:rsidRDefault="008842DF" w:rsidP="008842DF">
      <w:pPr>
        <w:rPr>
          <w:rFonts w:eastAsia="Times New Roman"/>
          <w:bCs w:val="0"/>
          <w:szCs w:val="20"/>
        </w:rPr>
      </w:pPr>
      <w:r w:rsidRPr="008842DF">
        <w:rPr>
          <w:rFonts w:eastAsia="Times New Roman"/>
          <w:bCs w:val="0"/>
          <w:szCs w:val="20"/>
        </w:rPr>
        <w:t xml:space="preserve">En la biografía autorizada de </w:t>
      </w:r>
      <w:hyperlink r:id="rId4" w:tooltip="Baltasar Garzón" w:history="1">
        <w:r w:rsidRPr="008842DF">
          <w:rPr>
            <w:rFonts w:eastAsia="Times New Roman"/>
            <w:bCs w:val="0"/>
            <w:color w:val="0000FF"/>
            <w:szCs w:val="20"/>
            <w:u w:val="single"/>
          </w:rPr>
          <w:t>Baltasar Garzón</w:t>
        </w:r>
      </w:hyperlink>
      <w:r w:rsidRPr="008842DF">
        <w:rPr>
          <w:rFonts w:eastAsia="Times New Roman"/>
          <w:bCs w:val="0"/>
          <w:szCs w:val="20"/>
        </w:rPr>
        <w:t xml:space="preserve">, </w:t>
      </w:r>
      <w:r w:rsidRPr="008842DF">
        <w:rPr>
          <w:rFonts w:eastAsia="Times New Roman"/>
          <w:bCs w:val="0"/>
          <w:i/>
          <w:iCs/>
          <w:szCs w:val="20"/>
        </w:rPr>
        <w:t>Garzón, el hombre que veía amanecer</w:t>
      </w:r>
      <w:r w:rsidRPr="008842DF">
        <w:rPr>
          <w:rFonts w:eastAsia="Times New Roman"/>
          <w:bCs w:val="0"/>
          <w:szCs w:val="20"/>
        </w:rPr>
        <w:t xml:space="preserve">, escrita por </w:t>
      </w:r>
      <w:hyperlink r:id="rId5" w:tooltip="Pilar Urbano" w:history="1">
        <w:r w:rsidRPr="008842DF">
          <w:rPr>
            <w:rFonts w:eastAsia="Times New Roman"/>
            <w:bCs w:val="0"/>
            <w:color w:val="0000FF"/>
            <w:szCs w:val="20"/>
            <w:u w:val="single"/>
          </w:rPr>
          <w:t>Pilar Urbano</w:t>
        </w:r>
      </w:hyperlink>
      <w:r w:rsidRPr="008842DF">
        <w:rPr>
          <w:rFonts w:eastAsia="Times New Roman"/>
          <w:bCs w:val="0"/>
          <w:szCs w:val="20"/>
        </w:rPr>
        <w:t xml:space="preserve"> y publicada en 2000, el </w:t>
      </w:r>
      <w:proofErr w:type="spellStart"/>
      <w:r w:rsidRPr="008842DF">
        <w:rPr>
          <w:rFonts w:eastAsia="Times New Roman"/>
          <w:bCs w:val="0"/>
          <w:szCs w:val="20"/>
        </w:rPr>
        <w:t>exjuez</w:t>
      </w:r>
      <w:proofErr w:type="spellEnd"/>
      <w:r w:rsidRPr="008842DF">
        <w:rPr>
          <w:rFonts w:eastAsia="Times New Roman"/>
          <w:bCs w:val="0"/>
          <w:szCs w:val="20"/>
        </w:rPr>
        <w:t xml:space="preserve"> señaló a García-Trevijano como el cerebro de la supuesta trama que originó el llamado </w:t>
      </w:r>
      <w:hyperlink r:id="rId6" w:tooltip="Caso Sogecable (aún no redactado)" w:history="1">
        <w:r w:rsidRPr="008842DF">
          <w:rPr>
            <w:rFonts w:eastAsia="Times New Roman"/>
            <w:bCs w:val="0"/>
            <w:color w:val="0000FF"/>
            <w:szCs w:val="20"/>
            <w:u w:val="single"/>
          </w:rPr>
          <w:t>caso Sogecable</w:t>
        </w:r>
      </w:hyperlink>
      <w:r w:rsidRPr="008842DF">
        <w:rPr>
          <w:rFonts w:eastAsia="Times New Roman"/>
          <w:bCs w:val="0"/>
          <w:szCs w:val="20"/>
        </w:rPr>
        <w:t xml:space="preserve"> a comienzos de 1997.</w:t>
      </w:r>
      <w:hyperlink r:id="rId7" w:anchor="cite_note-175" w:history="1">
        <w:r w:rsidRPr="008842DF">
          <w:rPr>
            <w:rFonts w:eastAsia="Times New Roman"/>
            <w:bCs w:val="0"/>
            <w:color w:val="0000FF"/>
            <w:szCs w:val="20"/>
            <w:u w:val="single"/>
            <w:vertAlign w:val="superscript"/>
          </w:rPr>
          <w:t>175</w:t>
        </w:r>
      </w:hyperlink>
      <w:r w:rsidRPr="008842DF">
        <w:rPr>
          <w:rFonts w:ascii="Times New Roman" w:eastAsia="Times New Roman" w:hAnsi="Times New Roman"/>
          <w:bCs w:val="0"/>
          <w:szCs w:val="20"/>
        </w:rPr>
        <w:t>​</w:t>
      </w:r>
      <w:r w:rsidRPr="008842DF">
        <w:rPr>
          <w:rFonts w:eastAsia="Times New Roman"/>
          <w:bCs w:val="0"/>
          <w:szCs w:val="20"/>
        </w:rPr>
        <w:t xml:space="preserve"> Garzón manifestó que, en una reunión que tuvo lugar en la sede del diario </w:t>
      </w:r>
      <w:hyperlink r:id="rId8" w:tooltip="ABC (periódico)" w:history="1">
        <w:r w:rsidRPr="008842DF">
          <w:rPr>
            <w:rFonts w:eastAsia="Times New Roman"/>
            <w:bCs w:val="0"/>
            <w:i/>
            <w:iCs/>
            <w:color w:val="0000FF"/>
            <w:szCs w:val="20"/>
            <w:u w:val="single"/>
          </w:rPr>
          <w:t>ABC</w:t>
        </w:r>
      </w:hyperlink>
      <w:r w:rsidRPr="008842DF">
        <w:rPr>
          <w:rFonts w:eastAsia="Times New Roman"/>
          <w:bCs w:val="0"/>
          <w:szCs w:val="20"/>
        </w:rPr>
        <w:t xml:space="preserve">, en la que estaban presentes el propio Garzón, el abogado Antonio García-Trevijano, el magistrado </w:t>
      </w:r>
      <w:hyperlink r:id="rId9" w:tooltip="Joaquín Navarro Estevan" w:history="1">
        <w:r w:rsidRPr="008842DF">
          <w:rPr>
            <w:rFonts w:eastAsia="Times New Roman"/>
            <w:bCs w:val="0"/>
            <w:color w:val="0000FF"/>
            <w:szCs w:val="20"/>
            <w:u w:val="single"/>
          </w:rPr>
          <w:t>Joaquín Navarro</w:t>
        </w:r>
      </w:hyperlink>
      <w:r w:rsidRPr="008842DF">
        <w:rPr>
          <w:rFonts w:eastAsia="Times New Roman"/>
          <w:bCs w:val="0"/>
          <w:szCs w:val="20"/>
        </w:rPr>
        <w:t xml:space="preserve">, el profesor </w:t>
      </w:r>
      <w:hyperlink r:id="rId10" w:tooltip="Jesús Neira Rodríguez" w:history="1">
        <w:r w:rsidRPr="008842DF">
          <w:rPr>
            <w:rFonts w:eastAsia="Times New Roman"/>
            <w:bCs w:val="0"/>
            <w:color w:val="0000FF"/>
            <w:szCs w:val="20"/>
            <w:u w:val="single"/>
          </w:rPr>
          <w:t>Jesús Neira</w:t>
        </w:r>
      </w:hyperlink>
      <w:r w:rsidRPr="008842DF">
        <w:rPr>
          <w:rFonts w:eastAsia="Times New Roman"/>
          <w:bCs w:val="0"/>
          <w:szCs w:val="20"/>
        </w:rPr>
        <w:t xml:space="preserve"> y el director del citado periódico </w:t>
      </w:r>
      <w:hyperlink r:id="rId11" w:tooltip="Luis María Ansón" w:history="1">
        <w:r w:rsidRPr="008842DF">
          <w:rPr>
            <w:rFonts w:eastAsia="Times New Roman"/>
            <w:bCs w:val="0"/>
            <w:color w:val="0000FF"/>
            <w:szCs w:val="20"/>
            <w:u w:val="single"/>
          </w:rPr>
          <w:t xml:space="preserve">Luis María </w:t>
        </w:r>
        <w:proofErr w:type="spellStart"/>
        <w:r w:rsidRPr="008842DF">
          <w:rPr>
            <w:rFonts w:eastAsia="Times New Roman"/>
            <w:bCs w:val="0"/>
            <w:color w:val="0000FF"/>
            <w:szCs w:val="20"/>
            <w:u w:val="single"/>
          </w:rPr>
          <w:t>Anson</w:t>
        </w:r>
        <w:proofErr w:type="spellEnd"/>
      </w:hyperlink>
      <w:r w:rsidRPr="008842DF">
        <w:rPr>
          <w:rFonts w:eastAsia="Times New Roman"/>
          <w:bCs w:val="0"/>
          <w:szCs w:val="20"/>
        </w:rPr>
        <w:t xml:space="preserve">, este último comentó que tenía un informe encargado por un </w:t>
      </w:r>
      <w:hyperlink r:id="rId12" w:tooltip="Secretario de Estado (España)" w:history="1">
        <w:r w:rsidRPr="008842DF">
          <w:rPr>
            <w:rFonts w:eastAsia="Times New Roman"/>
            <w:bCs w:val="0"/>
            <w:color w:val="0000FF"/>
            <w:szCs w:val="20"/>
            <w:u w:val="single"/>
          </w:rPr>
          <w:t>secretario de Estado</w:t>
        </w:r>
      </w:hyperlink>
      <w:r w:rsidRPr="008842DF">
        <w:rPr>
          <w:rFonts w:eastAsia="Times New Roman"/>
          <w:bCs w:val="0"/>
          <w:szCs w:val="20"/>
        </w:rPr>
        <w:t xml:space="preserve">, en el que se relataban una serie de irregularidades contables de la empresa audiovisual </w:t>
      </w:r>
      <w:hyperlink r:id="rId13" w:tooltip="Sogecable" w:history="1">
        <w:r w:rsidRPr="008842DF">
          <w:rPr>
            <w:rFonts w:eastAsia="Times New Roman"/>
            <w:bCs w:val="0"/>
            <w:color w:val="0000FF"/>
            <w:szCs w:val="20"/>
            <w:u w:val="single"/>
          </w:rPr>
          <w:t>Sogecable</w:t>
        </w:r>
      </w:hyperlink>
      <w:r w:rsidRPr="008842DF">
        <w:rPr>
          <w:rFonts w:eastAsia="Times New Roman"/>
          <w:bCs w:val="0"/>
          <w:szCs w:val="20"/>
        </w:rPr>
        <w:t xml:space="preserve">, perteneciente al </w:t>
      </w:r>
      <w:hyperlink r:id="rId14" w:tooltip="Grupo PRISA" w:history="1">
        <w:r w:rsidRPr="008842DF">
          <w:rPr>
            <w:rFonts w:eastAsia="Times New Roman"/>
            <w:bCs w:val="0"/>
            <w:color w:val="0000FF"/>
            <w:szCs w:val="20"/>
            <w:u w:val="single"/>
          </w:rPr>
          <w:t>Grupo PRISA</w:t>
        </w:r>
      </w:hyperlink>
      <w:r w:rsidRPr="008842DF">
        <w:rPr>
          <w:rFonts w:eastAsia="Times New Roman"/>
          <w:bCs w:val="0"/>
          <w:szCs w:val="20"/>
        </w:rPr>
        <w:t xml:space="preserve"> y propietaria del canal de televisión de pago </w:t>
      </w:r>
      <w:hyperlink r:id="rId15" w:tooltip="Canal Plus (España)" w:history="1">
        <w:r w:rsidRPr="008842DF">
          <w:rPr>
            <w:rFonts w:eastAsia="Times New Roman"/>
            <w:bCs w:val="0"/>
            <w:color w:val="0000FF"/>
            <w:szCs w:val="20"/>
            <w:u w:val="single"/>
          </w:rPr>
          <w:t>Canal Plus</w:t>
        </w:r>
      </w:hyperlink>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Según expresó el </w:t>
      </w:r>
      <w:proofErr w:type="spellStart"/>
      <w:r w:rsidRPr="008842DF">
        <w:rPr>
          <w:rFonts w:eastAsia="Times New Roman"/>
          <w:bCs w:val="0"/>
          <w:szCs w:val="20"/>
        </w:rPr>
        <w:t>exjuez</w:t>
      </w:r>
      <w:proofErr w:type="spellEnd"/>
      <w:r w:rsidRPr="008842DF">
        <w:rPr>
          <w:rFonts w:eastAsia="Times New Roman"/>
          <w:bCs w:val="0"/>
          <w:szCs w:val="20"/>
        </w:rPr>
        <w:t xml:space="preserve"> a Pilar Urbano, </w:t>
      </w:r>
      <w:proofErr w:type="spellStart"/>
      <w:r w:rsidRPr="008842DF">
        <w:rPr>
          <w:rFonts w:eastAsia="Times New Roman"/>
          <w:bCs w:val="0"/>
          <w:szCs w:val="20"/>
        </w:rPr>
        <w:t>Anson</w:t>
      </w:r>
      <w:proofErr w:type="spellEnd"/>
      <w:r w:rsidRPr="008842DF">
        <w:rPr>
          <w:rFonts w:eastAsia="Times New Roman"/>
          <w:bCs w:val="0"/>
          <w:szCs w:val="20"/>
        </w:rPr>
        <w:t xml:space="preserve"> entregó una copia del referido informe a García-Trevijano, cuya información serviría como base para preparar las querellas que el periodista </w:t>
      </w:r>
      <w:hyperlink r:id="rId16" w:tooltip="Jaime Campmany" w:history="1">
        <w:r w:rsidRPr="008842DF">
          <w:rPr>
            <w:rFonts w:eastAsia="Times New Roman"/>
            <w:bCs w:val="0"/>
            <w:color w:val="0000FF"/>
            <w:szCs w:val="20"/>
            <w:u w:val="single"/>
          </w:rPr>
          <w:t xml:space="preserve">Jaime </w:t>
        </w:r>
        <w:proofErr w:type="spellStart"/>
        <w:r w:rsidRPr="008842DF">
          <w:rPr>
            <w:rFonts w:eastAsia="Times New Roman"/>
            <w:bCs w:val="0"/>
            <w:color w:val="0000FF"/>
            <w:szCs w:val="20"/>
            <w:u w:val="single"/>
          </w:rPr>
          <w:t>Campmany</w:t>
        </w:r>
        <w:proofErr w:type="spellEnd"/>
      </w:hyperlink>
      <w:r w:rsidRPr="008842DF">
        <w:rPr>
          <w:rFonts w:eastAsia="Times New Roman"/>
          <w:bCs w:val="0"/>
          <w:szCs w:val="20"/>
        </w:rPr>
        <w:t xml:space="preserve"> y el profesor de Derecho financiero </w:t>
      </w:r>
      <w:hyperlink r:id="rId17" w:tooltip="Francisco Javier Sáinz Moreno (aún no redactado)" w:history="1">
        <w:r w:rsidRPr="008842DF">
          <w:rPr>
            <w:rFonts w:eastAsia="Times New Roman"/>
            <w:bCs w:val="0"/>
            <w:color w:val="0000FF"/>
            <w:szCs w:val="20"/>
            <w:u w:val="single"/>
          </w:rPr>
          <w:t xml:space="preserve">Francisco Javier </w:t>
        </w:r>
        <w:proofErr w:type="spellStart"/>
        <w:r w:rsidRPr="008842DF">
          <w:rPr>
            <w:rFonts w:eastAsia="Times New Roman"/>
            <w:bCs w:val="0"/>
            <w:color w:val="0000FF"/>
            <w:szCs w:val="20"/>
            <w:u w:val="single"/>
          </w:rPr>
          <w:t>Sáinz</w:t>
        </w:r>
        <w:proofErr w:type="spellEnd"/>
        <w:r w:rsidRPr="008842DF">
          <w:rPr>
            <w:rFonts w:eastAsia="Times New Roman"/>
            <w:bCs w:val="0"/>
            <w:color w:val="0000FF"/>
            <w:szCs w:val="20"/>
            <w:u w:val="single"/>
          </w:rPr>
          <w:t xml:space="preserve"> Moreno</w:t>
        </w:r>
      </w:hyperlink>
      <w:r w:rsidRPr="008842DF">
        <w:rPr>
          <w:rFonts w:eastAsia="Times New Roman"/>
          <w:bCs w:val="0"/>
          <w:szCs w:val="20"/>
        </w:rPr>
        <w:t xml:space="preserve"> presentaron contra </w:t>
      </w:r>
      <w:hyperlink r:id="rId18" w:tooltip="Jesús de Polanco" w:history="1">
        <w:r w:rsidRPr="008842DF">
          <w:rPr>
            <w:rFonts w:eastAsia="Times New Roman"/>
            <w:bCs w:val="0"/>
            <w:color w:val="0000FF"/>
            <w:szCs w:val="20"/>
            <w:u w:val="single"/>
          </w:rPr>
          <w:t>Jesús de Polanco</w:t>
        </w:r>
      </w:hyperlink>
      <w:r w:rsidRPr="008842DF">
        <w:rPr>
          <w:rFonts w:eastAsia="Times New Roman"/>
          <w:bCs w:val="0"/>
          <w:szCs w:val="20"/>
        </w:rPr>
        <w:t xml:space="preserve"> y los directivos de su grupo empresarial por presuntos delitos de estafa, falsedad y apropiación indebida, en relación con las fianzas depositadas por los abonados de Canal Plus, las cuales ascendían a 23.000 millones de pesetas (138.232.784 euros).</w:t>
      </w:r>
      <w:hyperlink r:id="rId19" w:anchor="cite_note-176" w:history="1">
        <w:r w:rsidRPr="008842DF">
          <w:rPr>
            <w:rFonts w:eastAsia="Times New Roman"/>
            <w:bCs w:val="0"/>
            <w:color w:val="0000FF"/>
            <w:szCs w:val="20"/>
            <w:u w:val="single"/>
            <w:vertAlign w:val="superscript"/>
          </w:rPr>
          <w:t>176</w:t>
        </w:r>
      </w:hyperlink>
      <w:r w:rsidRPr="008842DF">
        <w:rPr>
          <w:rFonts w:ascii="Times New Roman" w:eastAsia="Times New Roman" w:hAnsi="Times New Roman"/>
          <w:bCs w:val="0"/>
          <w:szCs w:val="20"/>
        </w:rPr>
        <w:t>​</w:t>
      </w:r>
      <w:hyperlink r:id="rId20" w:anchor="cite_note-177" w:history="1">
        <w:r w:rsidRPr="008842DF">
          <w:rPr>
            <w:rFonts w:eastAsia="Times New Roman"/>
            <w:bCs w:val="0"/>
            <w:color w:val="0000FF"/>
            <w:szCs w:val="20"/>
            <w:u w:val="single"/>
            <w:vertAlign w:val="superscript"/>
          </w:rPr>
          <w:t>177</w:t>
        </w:r>
      </w:hyperlink>
      <w:r w:rsidRPr="008842DF">
        <w:rPr>
          <w:rFonts w:ascii="Times New Roman" w:eastAsia="Times New Roman" w:hAnsi="Times New Roman"/>
          <w:bCs w:val="0"/>
          <w:szCs w:val="20"/>
        </w:rPr>
        <w:t>​</w:t>
      </w:r>
      <w:hyperlink r:id="rId21" w:anchor="cite_note-#10-178" w:history="1">
        <w:r w:rsidRPr="008842DF">
          <w:rPr>
            <w:rFonts w:eastAsia="Times New Roman"/>
            <w:bCs w:val="0"/>
            <w:color w:val="0000FF"/>
            <w:szCs w:val="20"/>
            <w:u w:val="single"/>
            <w:vertAlign w:val="superscript"/>
          </w:rPr>
          <w:t>178</w:t>
        </w:r>
      </w:hyperlink>
      <w:r w:rsidRPr="008842DF">
        <w:rPr>
          <w:rFonts w:ascii="Times New Roman" w:eastAsia="Times New Roman" w:hAnsi="Times New Roman"/>
          <w:bCs w:val="0"/>
          <w:szCs w:val="20"/>
        </w:rPr>
        <w:t>​</w:t>
      </w:r>
      <w:r w:rsidRPr="008842DF">
        <w:rPr>
          <w:rFonts w:eastAsia="Times New Roman"/>
          <w:bCs w:val="0"/>
          <w:szCs w:val="20"/>
        </w:rPr>
        <w:t xml:space="preserve"> El </w:t>
      </w:r>
      <w:proofErr w:type="spellStart"/>
      <w:r w:rsidRPr="008842DF">
        <w:rPr>
          <w:rFonts w:eastAsia="Times New Roman"/>
          <w:bCs w:val="0"/>
          <w:szCs w:val="20"/>
        </w:rPr>
        <w:t>exjuez</w:t>
      </w:r>
      <w:proofErr w:type="spellEnd"/>
      <w:r w:rsidRPr="008842DF">
        <w:rPr>
          <w:rFonts w:eastAsia="Times New Roman"/>
          <w:bCs w:val="0"/>
          <w:szCs w:val="20"/>
        </w:rPr>
        <w:t xml:space="preserve"> acusaba también a García-Trevijano de estar preparando, junto con el mencionado juez Navarro, una "conspiración de salón" para derrocar a </w:t>
      </w:r>
      <w:hyperlink r:id="rId22" w:tooltip="Juan Carlos I" w:history="1">
        <w:r w:rsidRPr="008842DF">
          <w:rPr>
            <w:rFonts w:eastAsia="Times New Roman"/>
            <w:bCs w:val="0"/>
            <w:color w:val="0000FF"/>
            <w:szCs w:val="20"/>
            <w:u w:val="single"/>
          </w:rPr>
          <w:t>Juan Carlos I</w:t>
        </w:r>
      </w:hyperlink>
      <w:r w:rsidRPr="008842DF">
        <w:rPr>
          <w:rFonts w:eastAsia="Times New Roman"/>
          <w:bCs w:val="0"/>
          <w:szCs w:val="20"/>
        </w:rPr>
        <w:t xml:space="preserve"> y proclamar una república en España.</w:t>
      </w:r>
      <w:hyperlink r:id="rId23" w:anchor="cite_note-179" w:history="1">
        <w:r w:rsidRPr="008842DF">
          <w:rPr>
            <w:rFonts w:eastAsia="Times New Roman"/>
            <w:bCs w:val="0"/>
            <w:color w:val="0000FF"/>
            <w:szCs w:val="20"/>
            <w:u w:val="single"/>
            <w:vertAlign w:val="superscript"/>
          </w:rPr>
          <w:t>179</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El juez de la </w:t>
      </w:r>
      <w:hyperlink r:id="rId24" w:tooltip="Audiencia Nacional" w:history="1">
        <w:r w:rsidRPr="008842DF">
          <w:rPr>
            <w:rFonts w:eastAsia="Times New Roman"/>
            <w:bCs w:val="0"/>
            <w:color w:val="0000FF"/>
            <w:szCs w:val="20"/>
            <w:u w:val="single"/>
          </w:rPr>
          <w:t>Audiencia Nacional</w:t>
        </w:r>
      </w:hyperlink>
      <w:r w:rsidRPr="008842DF">
        <w:rPr>
          <w:rFonts w:eastAsia="Times New Roman"/>
          <w:bCs w:val="0"/>
          <w:szCs w:val="20"/>
        </w:rPr>
        <w:t xml:space="preserve"> </w:t>
      </w:r>
      <w:hyperlink r:id="rId25" w:tooltip="Javier Gómez de Liaño" w:history="1">
        <w:r w:rsidRPr="008842DF">
          <w:rPr>
            <w:rFonts w:eastAsia="Times New Roman"/>
            <w:bCs w:val="0"/>
            <w:color w:val="0000FF"/>
            <w:szCs w:val="20"/>
            <w:u w:val="single"/>
          </w:rPr>
          <w:t>Javier Gómez de Liaño</w:t>
        </w:r>
      </w:hyperlink>
      <w:r w:rsidRPr="008842DF">
        <w:rPr>
          <w:rFonts w:eastAsia="Times New Roman"/>
          <w:bCs w:val="0"/>
          <w:szCs w:val="20"/>
        </w:rPr>
        <w:t xml:space="preserve"> asumió la investigación de las querellas interpuestas contra el Grupo PRISA. En ellas se denunciaba que la empresa Sogecable habría "utilizado indebidamente los depósitos de garantía de los abonados cuando, por disposición legal, deberían haber permanecido en cuenta aparte".</w:t>
      </w:r>
      <w:hyperlink r:id="rId26" w:anchor="cite_note-180" w:history="1">
        <w:r w:rsidRPr="008842DF">
          <w:rPr>
            <w:rFonts w:eastAsia="Times New Roman"/>
            <w:bCs w:val="0"/>
            <w:color w:val="0000FF"/>
            <w:szCs w:val="20"/>
            <w:u w:val="single"/>
            <w:vertAlign w:val="superscript"/>
          </w:rPr>
          <w:t>180</w:t>
        </w:r>
      </w:hyperlink>
      <w:r w:rsidRPr="008842DF">
        <w:rPr>
          <w:rFonts w:ascii="Times New Roman" w:eastAsia="Times New Roman" w:hAnsi="Times New Roman"/>
          <w:bCs w:val="0"/>
          <w:szCs w:val="20"/>
        </w:rPr>
        <w:t>​</w:t>
      </w:r>
      <w:r w:rsidRPr="008842DF">
        <w:rPr>
          <w:rFonts w:eastAsia="Times New Roman"/>
          <w:bCs w:val="0"/>
          <w:szCs w:val="20"/>
        </w:rPr>
        <w:t xml:space="preserve"> El juez Gómez de Liaño procesó a Jesús de Polanco, a </w:t>
      </w:r>
      <w:hyperlink r:id="rId27" w:tooltip="Juan Luis Cebrián" w:history="1">
        <w:r w:rsidRPr="008842DF">
          <w:rPr>
            <w:rFonts w:eastAsia="Times New Roman"/>
            <w:bCs w:val="0"/>
            <w:color w:val="0000FF"/>
            <w:szCs w:val="20"/>
            <w:u w:val="single"/>
          </w:rPr>
          <w:t>Juan Luis Cebrián</w:t>
        </w:r>
      </w:hyperlink>
      <w:r w:rsidRPr="008842DF">
        <w:rPr>
          <w:rFonts w:eastAsia="Times New Roman"/>
          <w:bCs w:val="0"/>
          <w:szCs w:val="20"/>
        </w:rPr>
        <w:t xml:space="preserve"> y a todo el consejo de administración de Sogecable por un presunto delito de </w:t>
      </w:r>
      <w:hyperlink r:id="rId28" w:tooltip="Apropiación indebida" w:history="1">
        <w:r w:rsidRPr="008842DF">
          <w:rPr>
            <w:rFonts w:eastAsia="Times New Roman"/>
            <w:bCs w:val="0"/>
            <w:color w:val="0000FF"/>
            <w:szCs w:val="20"/>
            <w:u w:val="single"/>
          </w:rPr>
          <w:t>apropiación indebida</w:t>
        </w:r>
      </w:hyperlink>
      <w:r w:rsidRPr="008842DF">
        <w:rPr>
          <w:rFonts w:eastAsia="Times New Roman"/>
          <w:bCs w:val="0"/>
          <w:szCs w:val="20"/>
        </w:rPr>
        <w:t>. Según Baltasar Garzón, García-Trevijano colaboró con Gómez de Liaño en la instrucción del caso.</w:t>
      </w:r>
      <w:hyperlink r:id="rId29" w:anchor="cite_note-181" w:history="1">
        <w:r w:rsidRPr="008842DF">
          <w:rPr>
            <w:rFonts w:eastAsia="Times New Roman"/>
            <w:bCs w:val="0"/>
            <w:color w:val="0000FF"/>
            <w:szCs w:val="20"/>
            <w:u w:val="single"/>
            <w:vertAlign w:val="superscript"/>
          </w:rPr>
          <w:t>181</w:t>
        </w:r>
      </w:hyperlink>
      <w:r w:rsidRPr="008842DF">
        <w:rPr>
          <w:rFonts w:ascii="Times New Roman" w:eastAsia="Times New Roman" w:hAnsi="Times New Roman"/>
          <w:bCs w:val="0"/>
          <w:szCs w:val="20"/>
        </w:rPr>
        <w:t>​</w:t>
      </w:r>
      <w:r w:rsidRPr="008842DF">
        <w:rPr>
          <w:rFonts w:eastAsia="Times New Roman"/>
          <w:bCs w:val="0"/>
          <w:szCs w:val="20"/>
        </w:rPr>
        <w:t xml:space="preserve"> Esta acusación fue contestada por García-Trevijano en un artículo de prensa con las siguientes palabras: "Ni una sola vez hablé con Javier sobre el sumario de Sogecable, ni él me consultó o informó sobre ese asunto. Que me mandara un </w:t>
      </w:r>
      <w:hyperlink r:id="rId30" w:tooltip="Fax" w:history="1">
        <w:r w:rsidRPr="008842DF">
          <w:rPr>
            <w:rFonts w:eastAsia="Times New Roman"/>
            <w:bCs w:val="0"/>
            <w:color w:val="0000FF"/>
            <w:szCs w:val="20"/>
            <w:u w:val="single"/>
          </w:rPr>
          <w:t>fax</w:t>
        </w:r>
      </w:hyperlink>
      <w:r w:rsidRPr="008842DF">
        <w:rPr>
          <w:rFonts w:eastAsia="Times New Roman"/>
          <w:bCs w:val="0"/>
          <w:szCs w:val="20"/>
        </w:rPr>
        <w:t xml:space="preserve"> o un borrador del auto de prisión de Polanco pertenece ya a lo esperpéntico".</w:t>
      </w:r>
      <w:hyperlink r:id="rId31" w:anchor="cite_note-182" w:history="1">
        <w:r w:rsidRPr="008842DF">
          <w:rPr>
            <w:rFonts w:eastAsia="Times New Roman"/>
            <w:bCs w:val="0"/>
            <w:color w:val="0000FF"/>
            <w:szCs w:val="20"/>
            <w:u w:val="single"/>
            <w:vertAlign w:val="superscript"/>
          </w:rPr>
          <w:t>182</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A finales de 1997, García-Trevijano, los jueces </w:t>
      </w:r>
      <w:hyperlink r:id="rId32" w:tooltip="Javier Gómez de Liaño" w:history="1">
        <w:r w:rsidRPr="008842DF">
          <w:rPr>
            <w:rFonts w:eastAsia="Times New Roman"/>
            <w:bCs w:val="0"/>
            <w:color w:val="0000FF"/>
            <w:szCs w:val="20"/>
            <w:u w:val="single"/>
          </w:rPr>
          <w:t>Javier Gómez de Liaño</w:t>
        </w:r>
      </w:hyperlink>
      <w:r w:rsidRPr="008842DF">
        <w:rPr>
          <w:rFonts w:eastAsia="Times New Roman"/>
          <w:bCs w:val="0"/>
          <w:szCs w:val="20"/>
        </w:rPr>
        <w:t xml:space="preserve"> y </w:t>
      </w:r>
      <w:hyperlink r:id="rId33" w:tooltip="Joaquín Navarro Estevan" w:history="1">
        <w:r w:rsidRPr="008842DF">
          <w:rPr>
            <w:rFonts w:eastAsia="Times New Roman"/>
            <w:bCs w:val="0"/>
            <w:color w:val="0000FF"/>
            <w:szCs w:val="20"/>
            <w:u w:val="single"/>
          </w:rPr>
          <w:t>Joaquín Navarro</w:t>
        </w:r>
      </w:hyperlink>
      <w:r w:rsidRPr="008842DF">
        <w:rPr>
          <w:rFonts w:eastAsia="Times New Roman"/>
          <w:bCs w:val="0"/>
          <w:szCs w:val="20"/>
        </w:rPr>
        <w:t xml:space="preserve"> y los fiscales </w:t>
      </w:r>
      <w:hyperlink r:id="rId34" w:tooltip="Ignacio Gordillo" w:history="1">
        <w:r w:rsidRPr="008842DF">
          <w:rPr>
            <w:rFonts w:eastAsia="Times New Roman"/>
            <w:bCs w:val="0"/>
            <w:color w:val="0000FF"/>
            <w:szCs w:val="20"/>
            <w:u w:val="single"/>
          </w:rPr>
          <w:t>Ignacio Gordillo</w:t>
        </w:r>
      </w:hyperlink>
      <w:r w:rsidRPr="008842DF">
        <w:rPr>
          <w:rFonts w:eastAsia="Times New Roman"/>
          <w:bCs w:val="0"/>
          <w:szCs w:val="20"/>
        </w:rPr>
        <w:t xml:space="preserve"> y </w:t>
      </w:r>
      <w:hyperlink r:id="rId35" w:tooltip="María Dolores Márquez de Prado (aún no redactado)" w:history="1">
        <w:r w:rsidRPr="008842DF">
          <w:rPr>
            <w:rFonts w:eastAsia="Times New Roman"/>
            <w:bCs w:val="0"/>
            <w:color w:val="0000FF"/>
            <w:szCs w:val="20"/>
            <w:u w:val="single"/>
          </w:rPr>
          <w:t>María Dolores Márquez de Prado</w:t>
        </w:r>
      </w:hyperlink>
      <w:r w:rsidRPr="008842DF">
        <w:rPr>
          <w:rFonts w:eastAsia="Times New Roman"/>
          <w:bCs w:val="0"/>
          <w:szCs w:val="20"/>
        </w:rPr>
        <w:t xml:space="preserve"> fueron citados por el </w:t>
      </w:r>
      <w:hyperlink r:id="rId36" w:tooltip="Tribunal Supremo (España)" w:history="1">
        <w:r w:rsidRPr="008842DF">
          <w:rPr>
            <w:rFonts w:eastAsia="Times New Roman"/>
            <w:bCs w:val="0"/>
            <w:color w:val="0000FF"/>
            <w:szCs w:val="20"/>
            <w:u w:val="single"/>
          </w:rPr>
          <w:t>Tribunal Supremo</w:t>
        </w:r>
      </w:hyperlink>
      <w:r w:rsidRPr="008842DF">
        <w:rPr>
          <w:rFonts w:eastAsia="Times New Roman"/>
          <w:bCs w:val="0"/>
          <w:szCs w:val="20"/>
        </w:rPr>
        <w:t xml:space="preserve"> para declarar como imputados por la comisión de un presunto delito de "conspiración para delinquir". El testimonio de Baltasar Garzón fue clave para la apertura de este proceso, el cual fue calificado por García-Trevijano de "payasada" y "farsa".</w:t>
      </w:r>
      <w:hyperlink r:id="rId37" w:anchor="cite_note-183" w:history="1">
        <w:r w:rsidRPr="008842DF">
          <w:rPr>
            <w:rFonts w:eastAsia="Times New Roman"/>
            <w:bCs w:val="0"/>
            <w:color w:val="0000FF"/>
            <w:szCs w:val="20"/>
            <w:u w:val="single"/>
            <w:vertAlign w:val="superscript"/>
          </w:rPr>
          <w:t>183</w:t>
        </w:r>
      </w:hyperlink>
      <w:r w:rsidRPr="008842DF">
        <w:rPr>
          <w:rFonts w:ascii="Times New Roman" w:eastAsia="Times New Roman" w:hAnsi="Times New Roman"/>
          <w:bCs w:val="0"/>
          <w:szCs w:val="20"/>
        </w:rPr>
        <w:t>​</w:t>
      </w:r>
      <w:r w:rsidRPr="008842DF">
        <w:rPr>
          <w:rFonts w:eastAsia="Times New Roman"/>
          <w:bCs w:val="0"/>
          <w:szCs w:val="20"/>
        </w:rPr>
        <w:t xml:space="preserve"> Según expresó ante los micrófonos de una emisora de radio, el proceso abierto por el Supremo solo obedecía a razones políticas: </w:t>
      </w:r>
    </w:p>
    <w:p w:rsidR="008842DF" w:rsidRPr="008842DF" w:rsidRDefault="008842DF" w:rsidP="008842DF">
      <w:pPr>
        <w:rPr>
          <w:rFonts w:eastAsia="Times New Roman"/>
          <w:bCs w:val="0"/>
          <w:szCs w:val="20"/>
        </w:rPr>
      </w:pPr>
      <w:r w:rsidRPr="008842DF">
        <w:rPr>
          <w:rFonts w:eastAsia="Times New Roman"/>
          <w:bCs w:val="0"/>
          <w:szCs w:val="20"/>
        </w:rPr>
        <w:t>"Yo no he cedido nunca en denunciar la falsedad del Régimen actual, la falsedad de la monarquía; yo no he aceptado jamás que tengamos un rey designado por Franco (...). No acato la monarquía, no acato a este rey, no acato la Constitución; digo lo que siento, y si quieren meterme en los tribunales, que me metan, me da igual".</w:t>
      </w:r>
      <w:hyperlink r:id="rId38" w:anchor="cite_note-184" w:history="1">
        <w:r w:rsidRPr="008842DF">
          <w:rPr>
            <w:rFonts w:eastAsia="Times New Roman"/>
            <w:bCs w:val="0"/>
            <w:color w:val="0000FF"/>
            <w:szCs w:val="20"/>
            <w:u w:val="single"/>
            <w:vertAlign w:val="superscript"/>
          </w:rPr>
          <w:t>184</w:t>
        </w:r>
      </w:hyperlink>
      <w:r w:rsidRPr="008842DF">
        <w:rPr>
          <w:rFonts w:ascii="Times New Roman" w:eastAsia="Times New Roman" w:hAnsi="Times New Roman"/>
          <w:bCs w:val="0"/>
          <w:szCs w:val="20"/>
        </w:rPr>
        <w:t>​</w:t>
      </w:r>
    </w:p>
    <w:p w:rsidR="008842DF" w:rsidRPr="008842DF" w:rsidRDefault="008842DF" w:rsidP="008842DF">
      <w:pPr>
        <w:rPr>
          <w:rFonts w:eastAsia="Times New Roman"/>
          <w:bCs w:val="0"/>
          <w:szCs w:val="20"/>
        </w:rPr>
      </w:pPr>
      <w:r w:rsidRPr="008842DF">
        <w:rPr>
          <w:rFonts w:eastAsia="Times New Roman"/>
          <w:bCs w:val="0"/>
          <w:szCs w:val="20"/>
        </w:rPr>
        <w:t>La causa contra García-Trevijano y el resto de imputados terminó siendo archivada, por entender el juez instructor de la misma, Joaquín Delgado Martín, que "no se ha probado la existencia de una trama contra Sogecable". Añadía el instructor que las declaraciones prestadas por Baltasar Garzón "no pueden servir como indicios mínimamente suficientes relativos a la existencia de la tan mentada confabulación: no permiten [...] fundamentar un escrito de acusación que hiciera posible la continuación del procedimiento".</w:t>
      </w:r>
      <w:hyperlink r:id="rId39" w:anchor="cite_note-185" w:history="1">
        <w:r w:rsidRPr="008842DF">
          <w:rPr>
            <w:rFonts w:eastAsia="Times New Roman"/>
            <w:bCs w:val="0"/>
            <w:color w:val="0000FF"/>
            <w:szCs w:val="20"/>
            <w:u w:val="single"/>
            <w:vertAlign w:val="superscript"/>
          </w:rPr>
          <w:t>185</w:t>
        </w:r>
      </w:hyperlink>
      <w:r w:rsidRPr="008842DF">
        <w:rPr>
          <w:rFonts w:ascii="Times New Roman" w:eastAsia="Times New Roman" w:hAnsi="Times New Roman"/>
          <w:bCs w:val="0"/>
          <w:szCs w:val="20"/>
        </w:rPr>
        <w:t>​</w:t>
      </w:r>
      <w:r w:rsidRPr="008842DF">
        <w:rPr>
          <w:rFonts w:eastAsia="Times New Roman"/>
          <w:bCs w:val="0"/>
          <w:szCs w:val="20"/>
        </w:rPr>
        <w:t xml:space="preserve"> </w:t>
      </w:r>
      <w:r w:rsidRPr="008842DF">
        <w:rPr>
          <w:rFonts w:eastAsia="Times New Roman"/>
          <w:bCs w:val="0"/>
          <w:szCs w:val="20"/>
        </w:rPr>
        <w:lastRenderedPageBreak/>
        <w:t>Paradójicamente, cuando el juez instructor informó a Garzón de que los encausados habían solicitado el archivo de la causa, Garzón manifestó que nada tenía que decir al respecto, "al no haber realizado él nunca ninguna acusación contra ninguno de ellos".</w:t>
      </w:r>
      <w:hyperlink r:id="rId40" w:anchor="cite_note-186" w:history="1">
        <w:r w:rsidRPr="008842DF">
          <w:rPr>
            <w:rFonts w:eastAsia="Times New Roman"/>
            <w:bCs w:val="0"/>
            <w:color w:val="0000FF"/>
            <w:szCs w:val="20"/>
            <w:u w:val="single"/>
            <w:vertAlign w:val="superscript"/>
          </w:rPr>
          <w:t>186</w:t>
        </w:r>
      </w:hyperlink>
      <w:r w:rsidRPr="008842DF">
        <w:rPr>
          <w:rFonts w:ascii="Times New Roman" w:eastAsia="Times New Roman" w:hAnsi="Times New Roman"/>
          <w:bCs w:val="0"/>
          <w:szCs w:val="20"/>
        </w:rPr>
        <w:t>​</w:t>
      </w:r>
      <w:r w:rsidRPr="008842DF">
        <w:rPr>
          <w:rFonts w:eastAsia="Times New Roman"/>
          <w:bCs w:val="0"/>
          <w:szCs w:val="20"/>
        </w:rPr>
        <w:t xml:space="preserve"> García-Trevijano, al conocer el archivo de la causa, declaró a </w:t>
      </w:r>
      <w:hyperlink r:id="rId41" w:tooltip="Europa Press" w:history="1">
        <w:r w:rsidRPr="008842DF">
          <w:rPr>
            <w:rFonts w:eastAsia="Times New Roman"/>
            <w:bCs w:val="0"/>
            <w:color w:val="0000FF"/>
            <w:szCs w:val="20"/>
            <w:u w:val="single"/>
          </w:rPr>
          <w:t xml:space="preserve">Europa </w:t>
        </w:r>
        <w:proofErr w:type="spellStart"/>
        <w:r w:rsidRPr="008842DF">
          <w:rPr>
            <w:rFonts w:eastAsia="Times New Roman"/>
            <w:bCs w:val="0"/>
            <w:color w:val="0000FF"/>
            <w:szCs w:val="20"/>
            <w:u w:val="single"/>
          </w:rPr>
          <w:t>Press</w:t>
        </w:r>
        <w:proofErr w:type="spellEnd"/>
      </w:hyperlink>
      <w:r w:rsidRPr="008842DF">
        <w:rPr>
          <w:rFonts w:eastAsia="Times New Roman"/>
          <w:bCs w:val="0"/>
          <w:szCs w:val="20"/>
        </w:rPr>
        <w:t xml:space="preserve"> su intención de querellarse contra Garzón "por la </w:t>
      </w:r>
      <w:hyperlink r:id="rId42" w:tooltip="Calumnia" w:history="1">
        <w:r w:rsidRPr="008842DF">
          <w:rPr>
            <w:rFonts w:eastAsia="Times New Roman"/>
            <w:bCs w:val="0"/>
            <w:color w:val="0000FF"/>
            <w:szCs w:val="20"/>
            <w:u w:val="single"/>
          </w:rPr>
          <w:t>calumnia</w:t>
        </w:r>
      </w:hyperlink>
      <w:r w:rsidRPr="008842DF">
        <w:rPr>
          <w:rFonts w:eastAsia="Times New Roman"/>
          <w:bCs w:val="0"/>
          <w:szCs w:val="20"/>
        </w:rPr>
        <w:t xml:space="preserve"> y por los posibles delitos que ha cometido contra la independencia del juez".</w:t>
      </w:r>
      <w:hyperlink r:id="rId43" w:anchor="cite_note-187" w:history="1">
        <w:r w:rsidRPr="008842DF">
          <w:rPr>
            <w:rFonts w:eastAsia="Times New Roman"/>
            <w:bCs w:val="0"/>
            <w:color w:val="0000FF"/>
            <w:szCs w:val="20"/>
            <w:u w:val="single"/>
            <w:vertAlign w:val="superscript"/>
          </w:rPr>
          <w:t>187</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En 1998, al año de cumplirse el procesamiento de </w:t>
      </w:r>
      <w:hyperlink r:id="rId44" w:tooltip="Jesús de Polanco" w:history="1">
        <w:r w:rsidRPr="008842DF">
          <w:rPr>
            <w:rFonts w:eastAsia="Times New Roman"/>
            <w:bCs w:val="0"/>
            <w:color w:val="0000FF"/>
            <w:szCs w:val="20"/>
            <w:u w:val="single"/>
          </w:rPr>
          <w:t>Jesús de Polanco</w:t>
        </w:r>
      </w:hyperlink>
      <w:r w:rsidRPr="008842DF">
        <w:rPr>
          <w:rFonts w:eastAsia="Times New Roman"/>
          <w:bCs w:val="0"/>
          <w:szCs w:val="20"/>
        </w:rPr>
        <w:t xml:space="preserve"> por el caso Sogecable, el presidente del Grupo Prisa denunció al juez Gómez de Liaño por </w:t>
      </w:r>
      <w:hyperlink r:id="rId45" w:tooltip="Prevaricación" w:history="1">
        <w:r w:rsidRPr="008842DF">
          <w:rPr>
            <w:rFonts w:eastAsia="Times New Roman"/>
            <w:bCs w:val="0"/>
            <w:color w:val="0000FF"/>
            <w:szCs w:val="20"/>
            <w:u w:val="single"/>
          </w:rPr>
          <w:t>prevaricación</w:t>
        </w:r>
      </w:hyperlink>
      <w:r w:rsidRPr="008842DF">
        <w:rPr>
          <w:rFonts w:eastAsia="Times New Roman"/>
          <w:bCs w:val="0"/>
          <w:szCs w:val="20"/>
        </w:rPr>
        <w:t xml:space="preserve"> en la instrucción del caso, siendo éste juzgado por el </w:t>
      </w:r>
      <w:hyperlink r:id="rId46" w:tooltip="Tribunal Supremo (España)" w:history="1">
        <w:r w:rsidRPr="008842DF">
          <w:rPr>
            <w:rFonts w:eastAsia="Times New Roman"/>
            <w:bCs w:val="0"/>
            <w:color w:val="0000FF"/>
            <w:szCs w:val="20"/>
            <w:u w:val="single"/>
          </w:rPr>
          <w:t>Tribunal Supremo</w:t>
        </w:r>
      </w:hyperlink>
      <w:r w:rsidRPr="008842DF">
        <w:rPr>
          <w:rFonts w:eastAsia="Times New Roman"/>
          <w:bCs w:val="0"/>
          <w:szCs w:val="20"/>
        </w:rPr>
        <w:t>. El juez se declaró "absolutamente inocente" ante los cargos que se le imputaban, sosteniendo que "mi actuación en el caso Sogecable fue tan legal como legítima. Volvería a hacer lo mismo".</w:t>
      </w:r>
      <w:hyperlink r:id="rId47" w:anchor="cite_note-188" w:history="1">
        <w:r w:rsidRPr="008842DF">
          <w:rPr>
            <w:rFonts w:eastAsia="Times New Roman"/>
            <w:bCs w:val="0"/>
            <w:color w:val="0000FF"/>
            <w:szCs w:val="20"/>
            <w:u w:val="single"/>
            <w:vertAlign w:val="superscript"/>
          </w:rPr>
          <w:t>188</w:t>
        </w:r>
      </w:hyperlink>
      <w:r w:rsidRPr="008842DF">
        <w:rPr>
          <w:rFonts w:ascii="Times New Roman" w:eastAsia="Times New Roman" w:hAnsi="Times New Roman"/>
          <w:bCs w:val="0"/>
          <w:szCs w:val="20"/>
        </w:rPr>
        <w:t>​</w:t>
      </w:r>
      <w:r w:rsidRPr="008842DF">
        <w:rPr>
          <w:rFonts w:eastAsia="Times New Roman"/>
          <w:bCs w:val="0"/>
          <w:szCs w:val="20"/>
        </w:rPr>
        <w:t xml:space="preserve"> A pesar de ello, fue condenado a quince años de inhabilitación, lo que equivalía a su salida de la carrera judicial. La sentencia firmada por los jueces Gregorio García </w:t>
      </w:r>
      <w:proofErr w:type="spellStart"/>
      <w:r w:rsidRPr="008842DF">
        <w:rPr>
          <w:rFonts w:eastAsia="Times New Roman"/>
          <w:bCs w:val="0"/>
          <w:szCs w:val="20"/>
        </w:rPr>
        <w:t>Ancos</w:t>
      </w:r>
      <w:proofErr w:type="spellEnd"/>
      <w:r w:rsidRPr="008842DF">
        <w:rPr>
          <w:rFonts w:eastAsia="Times New Roman"/>
          <w:bCs w:val="0"/>
          <w:szCs w:val="20"/>
        </w:rPr>
        <w:t xml:space="preserve">, </w:t>
      </w:r>
      <w:hyperlink r:id="rId48" w:tooltip="Enrique Bacigalupo" w:history="1">
        <w:r w:rsidRPr="008842DF">
          <w:rPr>
            <w:rFonts w:eastAsia="Times New Roman"/>
            <w:bCs w:val="0"/>
            <w:color w:val="0000FF"/>
            <w:szCs w:val="20"/>
            <w:u w:val="single"/>
          </w:rPr>
          <w:t>Enrique Bacigalupo Zapater</w:t>
        </w:r>
      </w:hyperlink>
      <w:r w:rsidRPr="008842DF">
        <w:rPr>
          <w:rFonts w:eastAsia="Times New Roman"/>
          <w:bCs w:val="0"/>
          <w:szCs w:val="20"/>
        </w:rPr>
        <w:t xml:space="preserve"> y José Martínez Pereda –este último se mostró discrepante con el fallo, quedando en minoría– establecía que Gómez de Liaño "abusó" de su posición de juez, "burló" decisiones de la </w:t>
      </w:r>
      <w:hyperlink r:id="rId49" w:tooltip="Audiencia Nacional" w:history="1">
        <w:r w:rsidRPr="008842DF">
          <w:rPr>
            <w:rFonts w:eastAsia="Times New Roman"/>
            <w:bCs w:val="0"/>
            <w:color w:val="0000FF"/>
            <w:szCs w:val="20"/>
            <w:u w:val="single"/>
          </w:rPr>
          <w:t>Audiencia Nacional</w:t>
        </w:r>
      </w:hyperlink>
      <w:r w:rsidRPr="008842DF">
        <w:rPr>
          <w:rFonts w:eastAsia="Times New Roman"/>
          <w:bCs w:val="0"/>
          <w:szCs w:val="20"/>
        </w:rPr>
        <w:t xml:space="preserve"> y "conculcó" distintos procesos legales de manera "consciente, llamativa, manifiesta y hasta grosera", añadiendo que los fiscales </w:t>
      </w:r>
      <w:hyperlink r:id="rId50" w:tooltip="Ignacio Gordillo" w:history="1">
        <w:r w:rsidRPr="008842DF">
          <w:rPr>
            <w:rFonts w:eastAsia="Times New Roman"/>
            <w:bCs w:val="0"/>
            <w:color w:val="0000FF"/>
            <w:szCs w:val="20"/>
            <w:u w:val="single"/>
          </w:rPr>
          <w:t>Ignacio Gordillo</w:t>
        </w:r>
      </w:hyperlink>
      <w:r w:rsidRPr="008842DF">
        <w:rPr>
          <w:rFonts w:eastAsia="Times New Roman"/>
          <w:bCs w:val="0"/>
          <w:szCs w:val="20"/>
        </w:rPr>
        <w:t xml:space="preserve"> y </w:t>
      </w:r>
      <w:hyperlink r:id="rId51" w:tooltip="Eduardo Fungairiño" w:history="1">
        <w:r w:rsidRPr="008842DF">
          <w:rPr>
            <w:rFonts w:eastAsia="Times New Roman"/>
            <w:bCs w:val="0"/>
            <w:color w:val="0000FF"/>
            <w:szCs w:val="20"/>
            <w:u w:val="single"/>
          </w:rPr>
          <w:t xml:space="preserve">Eduardo </w:t>
        </w:r>
        <w:proofErr w:type="spellStart"/>
        <w:r w:rsidRPr="008842DF">
          <w:rPr>
            <w:rFonts w:eastAsia="Times New Roman"/>
            <w:bCs w:val="0"/>
            <w:color w:val="0000FF"/>
            <w:szCs w:val="20"/>
            <w:u w:val="single"/>
          </w:rPr>
          <w:t>Fungairiño</w:t>
        </w:r>
        <w:proofErr w:type="spellEnd"/>
      </w:hyperlink>
      <w:r w:rsidRPr="008842DF">
        <w:rPr>
          <w:rFonts w:eastAsia="Times New Roman"/>
          <w:bCs w:val="0"/>
          <w:szCs w:val="20"/>
        </w:rPr>
        <w:t xml:space="preserve"> habrían mentido para protegerle.</w:t>
      </w:r>
      <w:hyperlink r:id="rId52" w:anchor="cite_note-189" w:history="1">
        <w:r w:rsidRPr="008842DF">
          <w:rPr>
            <w:rFonts w:eastAsia="Times New Roman"/>
            <w:bCs w:val="0"/>
            <w:color w:val="0000FF"/>
            <w:szCs w:val="20"/>
            <w:u w:val="single"/>
            <w:vertAlign w:val="superscript"/>
          </w:rPr>
          <w:t>189</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El magistrado recurrió la sentencia ante el </w:t>
      </w:r>
      <w:hyperlink r:id="rId53" w:tooltip="Tribunal Constitucional (España)" w:history="1">
        <w:r w:rsidRPr="008842DF">
          <w:rPr>
            <w:rFonts w:eastAsia="Times New Roman"/>
            <w:bCs w:val="0"/>
            <w:color w:val="0000FF"/>
            <w:szCs w:val="20"/>
            <w:u w:val="single"/>
          </w:rPr>
          <w:t>Tribunal Constitucional</w:t>
        </w:r>
      </w:hyperlink>
      <w:r w:rsidRPr="008842DF">
        <w:rPr>
          <w:rFonts w:eastAsia="Times New Roman"/>
          <w:bCs w:val="0"/>
          <w:szCs w:val="20"/>
        </w:rPr>
        <w:t xml:space="preserve">, pero su recurso fue rechazado por el alto tribunal en diciembre de 2003. </w:t>
      </w:r>
      <w:hyperlink r:id="rId54" w:tooltip="Willy Meyer" w:history="1">
        <w:proofErr w:type="spellStart"/>
        <w:r w:rsidRPr="008842DF">
          <w:rPr>
            <w:rFonts w:eastAsia="Times New Roman"/>
            <w:bCs w:val="0"/>
            <w:color w:val="0000FF"/>
            <w:szCs w:val="20"/>
            <w:u w:val="single"/>
          </w:rPr>
          <w:t>Willy</w:t>
        </w:r>
        <w:proofErr w:type="spellEnd"/>
        <w:r w:rsidRPr="008842DF">
          <w:rPr>
            <w:rFonts w:eastAsia="Times New Roman"/>
            <w:bCs w:val="0"/>
            <w:color w:val="0000FF"/>
            <w:szCs w:val="20"/>
            <w:u w:val="single"/>
          </w:rPr>
          <w:t xml:space="preserve"> Meyer</w:t>
        </w:r>
      </w:hyperlink>
      <w:r w:rsidRPr="008842DF">
        <w:rPr>
          <w:rFonts w:eastAsia="Times New Roman"/>
          <w:bCs w:val="0"/>
          <w:szCs w:val="20"/>
        </w:rPr>
        <w:t xml:space="preserve">, entonces portavoz de </w:t>
      </w:r>
      <w:hyperlink r:id="rId55" w:tooltip="Izquierda Unida (España)" w:history="1">
        <w:r w:rsidRPr="008842DF">
          <w:rPr>
            <w:rFonts w:eastAsia="Times New Roman"/>
            <w:bCs w:val="0"/>
            <w:color w:val="0000FF"/>
            <w:szCs w:val="20"/>
            <w:u w:val="single"/>
          </w:rPr>
          <w:t>Izquierda Unida</w:t>
        </w:r>
      </w:hyperlink>
      <w:r w:rsidRPr="008842DF">
        <w:rPr>
          <w:rFonts w:eastAsia="Times New Roman"/>
          <w:bCs w:val="0"/>
          <w:szCs w:val="20"/>
        </w:rPr>
        <w:t xml:space="preserve"> en el </w:t>
      </w:r>
      <w:hyperlink r:id="rId56" w:tooltip="Congreso de los Diputados" w:history="1">
        <w:r w:rsidRPr="008842DF">
          <w:rPr>
            <w:rFonts w:eastAsia="Times New Roman"/>
            <w:bCs w:val="0"/>
            <w:color w:val="0000FF"/>
            <w:szCs w:val="20"/>
            <w:u w:val="single"/>
          </w:rPr>
          <w:t>Congreso de los Diputados</w:t>
        </w:r>
      </w:hyperlink>
      <w:r w:rsidRPr="008842DF">
        <w:rPr>
          <w:rFonts w:eastAsia="Times New Roman"/>
          <w:bCs w:val="0"/>
          <w:szCs w:val="20"/>
        </w:rPr>
        <w:t xml:space="preserve">, consideró la sentencia como una venganza, afirmando que “Liaño paga así su coraje por haber sido implacable contra los </w:t>
      </w:r>
      <w:hyperlink r:id="rId57" w:tooltip="Grupos Antiterroristas de Liberación" w:history="1">
        <w:r w:rsidRPr="008842DF">
          <w:rPr>
            <w:rFonts w:eastAsia="Times New Roman"/>
            <w:bCs w:val="0"/>
            <w:color w:val="0000FF"/>
            <w:szCs w:val="20"/>
            <w:u w:val="single"/>
          </w:rPr>
          <w:t>GAL</w:t>
        </w:r>
      </w:hyperlink>
      <w:r w:rsidRPr="008842DF">
        <w:rPr>
          <w:rFonts w:eastAsia="Times New Roman"/>
          <w:bCs w:val="0"/>
          <w:szCs w:val="20"/>
        </w:rPr>
        <w:t xml:space="preserve">" –Gómez de Liaño se hizo especialmente molesto para el </w:t>
      </w:r>
      <w:hyperlink r:id="rId58" w:tooltip="Gobiernos de Felipe González" w:history="1">
        <w:r w:rsidRPr="008842DF">
          <w:rPr>
            <w:rFonts w:eastAsia="Times New Roman"/>
            <w:bCs w:val="0"/>
            <w:color w:val="0000FF"/>
            <w:szCs w:val="20"/>
            <w:u w:val="single"/>
          </w:rPr>
          <w:t>gobierno de Felipe González</w:t>
        </w:r>
      </w:hyperlink>
      <w:r w:rsidRPr="008842DF">
        <w:rPr>
          <w:rFonts w:eastAsia="Times New Roman"/>
          <w:bCs w:val="0"/>
          <w:szCs w:val="20"/>
        </w:rPr>
        <w:t xml:space="preserve"> por instruir diversos sumarios relacionados con el </w:t>
      </w:r>
      <w:hyperlink r:id="rId59" w:tooltip="Terrorismo de Estado" w:history="1">
        <w:r w:rsidRPr="008842DF">
          <w:rPr>
            <w:rFonts w:eastAsia="Times New Roman"/>
            <w:bCs w:val="0"/>
            <w:color w:val="0000FF"/>
            <w:szCs w:val="20"/>
            <w:u w:val="single"/>
          </w:rPr>
          <w:t>terrorismo de Estado</w:t>
        </w:r>
      </w:hyperlink>
      <w:r w:rsidRPr="008842DF">
        <w:rPr>
          <w:rFonts w:eastAsia="Times New Roman"/>
          <w:bCs w:val="0"/>
          <w:szCs w:val="20"/>
        </w:rPr>
        <w:t xml:space="preserve"> perpetrado por los GAL, en especial el </w:t>
      </w:r>
      <w:hyperlink r:id="rId60" w:tooltip="Caso Lasa y Zabala" w:history="1">
        <w:r w:rsidRPr="008842DF">
          <w:rPr>
            <w:rFonts w:eastAsia="Times New Roman"/>
            <w:bCs w:val="0"/>
            <w:color w:val="0000FF"/>
            <w:szCs w:val="20"/>
            <w:u w:val="single"/>
          </w:rPr>
          <w:t>caso Lasa y Zabala</w:t>
        </w:r>
      </w:hyperlink>
      <w:r w:rsidRPr="008842DF">
        <w:rPr>
          <w:rFonts w:eastAsia="Times New Roman"/>
          <w:bCs w:val="0"/>
          <w:szCs w:val="20"/>
        </w:rPr>
        <w:t xml:space="preserve">, por el que se investigó el asesinato en el </w:t>
      </w:r>
      <w:hyperlink r:id="rId61" w:tooltip="Cuartel de Inchaurrondo" w:history="1">
        <w:r w:rsidRPr="008842DF">
          <w:rPr>
            <w:rFonts w:eastAsia="Times New Roman"/>
            <w:bCs w:val="0"/>
            <w:color w:val="0000FF"/>
            <w:szCs w:val="20"/>
            <w:u w:val="single"/>
          </w:rPr>
          <w:t xml:space="preserve">cuartel de la Guardia Civil de </w:t>
        </w:r>
        <w:proofErr w:type="spellStart"/>
        <w:r w:rsidRPr="008842DF">
          <w:rPr>
            <w:rFonts w:eastAsia="Times New Roman"/>
            <w:bCs w:val="0"/>
            <w:color w:val="0000FF"/>
            <w:szCs w:val="20"/>
            <w:u w:val="single"/>
          </w:rPr>
          <w:t>Intxaurrondo</w:t>
        </w:r>
        <w:proofErr w:type="spellEnd"/>
      </w:hyperlink>
      <w:r w:rsidRPr="008842DF">
        <w:rPr>
          <w:rFonts w:eastAsia="Times New Roman"/>
          <w:bCs w:val="0"/>
          <w:szCs w:val="20"/>
        </w:rPr>
        <w:t xml:space="preserve"> y posterior entierro en cal viva de dos jóvenes vascos, y que concluyó con la condena y el encarcelamiento del general de la Guardia Civil </w:t>
      </w:r>
      <w:hyperlink r:id="rId62" w:tooltip="Enrique Rodríguez Galindo" w:history="1">
        <w:r w:rsidRPr="008842DF">
          <w:rPr>
            <w:rFonts w:eastAsia="Times New Roman"/>
            <w:bCs w:val="0"/>
            <w:color w:val="0000FF"/>
            <w:szCs w:val="20"/>
            <w:u w:val="single"/>
          </w:rPr>
          <w:t>Enrique Rodríguez Galindo</w:t>
        </w:r>
      </w:hyperlink>
      <w:r w:rsidRPr="008842DF">
        <w:rPr>
          <w:rFonts w:eastAsia="Times New Roman"/>
          <w:bCs w:val="0"/>
          <w:szCs w:val="20"/>
        </w:rPr>
        <w:t xml:space="preserve"> y del gobernador civil de Guipúzcoa </w:t>
      </w:r>
      <w:hyperlink r:id="rId63" w:tooltip="Julen Elgorriaga" w:history="1">
        <w:r w:rsidRPr="008842DF">
          <w:rPr>
            <w:rFonts w:eastAsia="Times New Roman"/>
            <w:bCs w:val="0"/>
            <w:color w:val="0000FF"/>
            <w:szCs w:val="20"/>
            <w:u w:val="single"/>
          </w:rPr>
          <w:t xml:space="preserve">Julen </w:t>
        </w:r>
        <w:proofErr w:type="spellStart"/>
        <w:r w:rsidRPr="008842DF">
          <w:rPr>
            <w:rFonts w:eastAsia="Times New Roman"/>
            <w:bCs w:val="0"/>
            <w:color w:val="0000FF"/>
            <w:szCs w:val="20"/>
            <w:u w:val="single"/>
          </w:rPr>
          <w:t>Elgorriaga</w:t>
        </w:r>
        <w:proofErr w:type="spellEnd"/>
      </w:hyperlink>
      <w:r w:rsidRPr="008842DF">
        <w:rPr>
          <w:rFonts w:eastAsia="Times New Roman"/>
          <w:bCs w:val="0"/>
          <w:szCs w:val="20"/>
        </w:rPr>
        <w:t>, entre otros–.</w:t>
      </w:r>
      <w:hyperlink r:id="rId64" w:anchor="cite_note-190" w:history="1">
        <w:r w:rsidRPr="008842DF">
          <w:rPr>
            <w:rFonts w:eastAsia="Times New Roman"/>
            <w:bCs w:val="0"/>
            <w:color w:val="0000FF"/>
            <w:szCs w:val="20"/>
            <w:u w:val="single"/>
            <w:vertAlign w:val="superscript"/>
          </w:rPr>
          <w:t>190</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8842DF" w:rsidRPr="008842DF" w:rsidRDefault="008842DF" w:rsidP="008842DF">
      <w:pPr>
        <w:rPr>
          <w:rFonts w:eastAsia="Times New Roman"/>
          <w:bCs w:val="0"/>
          <w:szCs w:val="20"/>
        </w:rPr>
      </w:pPr>
      <w:r w:rsidRPr="008842DF">
        <w:rPr>
          <w:rFonts w:eastAsia="Times New Roman"/>
          <w:bCs w:val="0"/>
          <w:szCs w:val="20"/>
        </w:rPr>
        <w:t xml:space="preserve">Una década más tarde, en julio de 2008, el </w:t>
      </w:r>
      <w:hyperlink r:id="rId65" w:tooltip="Tribunal Europeo de Derechos Humanos" w:history="1">
        <w:r w:rsidRPr="008842DF">
          <w:rPr>
            <w:rFonts w:eastAsia="Times New Roman"/>
            <w:bCs w:val="0"/>
            <w:color w:val="0000FF"/>
            <w:szCs w:val="20"/>
            <w:u w:val="single"/>
          </w:rPr>
          <w:t>Tribunal Europeo de Derechos Humanos</w:t>
        </w:r>
      </w:hyperlink>
      <w:r w:rsidRPr="008842DF">
        <w:rPr>
          <w:rFonts w:eastAsia="Times New Roman"/>
          <w:bCs w:val="0"/>
          <w:szCs w:val="20"/>
        </w:rPr>
        <w:t xml:space="preserve"> dictaminó que Gómez de Liaño "no tuvo un juicio independiente e imparcial" cuando fue condenado por prevaricación por una Sala del Supremo, y condenó al Estado español a abonar 5.000 euros al demandante en concepto de daños morales.</w:t>
      </w:r>
      <w:hyperlink r:id="rId66" w:anchor="cite_note-191" w:history="1">
        <w:r w:rsidRPr="008842DF">
          <w:rPr>
            <w:rFonts w:eastAsia="Times New Roman"/>
            <w:bCs w:val="0"/>
            <w:color w:val="0000FF"/>
            <w:szCs w:val="20"/>
            <w:u w:val="single"/>
            <w:vertAlign w:val="superscript"/>
          </w:rPr>
          <w:t>191</w:t>
        </w:r>
      </w:hyperlink>
      <w:r w:rsidRPr="008842DF">
        <w:rPr>
          <w:rFonts w:ascii="Times New Roman" w:eastAsia="Times New Roman" w:hAnsi="Times New Roman"/>
          <w:bCs w:val="0"/>
          <w:szCs w:val="20"/>
        </w:rPr>
        <w:t>​</w:t>
      </w:r>
      <w:r w:rsidRPr="008842DF">
        <w:rPr>
          <w:rFonts w:eastAsia="Times New Roman"/>
          <w:bCs w:val="0"/>
          <w:szCs w:val="20"/>
        </w:rPr>
        <w:t xml:space="preserve"> Los jueces de la Corte de Estrasburgo condenaron al Reino de España por unanimidad al considerar que violó el artículo 6.1 del </w:t>
      </w:r>
      <w:hyperlink r:id="rId67" w:tooltip="Convención Europea de Derechos Humanos" w:history="1">
        <w:r w:rsidRPr="008842DF">
          <w:rPr>
            <w:rFonts w:eastAsia="Times New Roman"/>
            <w:bCs w:val="0"/>
            <w:color w:val="0000FF"/>
            <w:szCs w:val="20"/>
            <w:u w:val="single"/>
          </w:rPr>
          <w:t>Convenio Europeo de Derechos Humanos</w:t>
        </w:r>
      </w:hyperlink>
      <w:r w:rsidRPr="008842DF">
        <w:rPr>
          <w:rFonts w:eastAsia="Times New Roman"/>
          <w:bCs w:val="0"/>
          <w:szCs w:val="20"/>
        </w:rPr>
        <w:t xml:space="preserve">, que establece el derecho a ser juzgado por un tribunal independiente e imparcial. Gómez de Liaño se declaró "resarcido desde el punto de vista humano y como jurista" con el fallo de Estrasburgo, aunque incidió en que fue </w:t>
      </w:r>
      <w:r w:rsidRPr="008842DF">
        <w:rPr>
          <w:rFonts w:ascii="Times New Roman" w:eastAsia="Times New Roman" w:hAnsi="Times New Roman"/>
          <w:bCs w:val="0"/>
          <w:szCs w:val="20"/>
        </w:rPr>
        <w:t></w:t>
      </w:r>
      <w:r w:rsidRPr="008842DF">
        <w:rPr>
          <w:rFonts w:eastAsia="Times New Roman"/>
          <w:bCs w:val="0"/>
          <w:szCs w:val="20"/>
        </w:rPr>
        <w:t>muy doloroso "que se me pudiera hacer lo que se me hizo". El juez no volvió a retomar la carrera judicial, dedicándose al ejercicio de la abogacía.</w:t>
      </w:r>
      <w:hyperlink r:id="rId68" w:anchor="cite_note-#10-178" w:history="1">
        <w:r w:rsidRPr="008842DF">
          <w:rPr>
            <w:rFonts w:eastAsia="Times New Roman"/>
            <w:bCs w:val="0"/>
            <w:color w:val="0000FF"/>
            <w:szCs w:val="20"/>
            <w:u w:val="single"/>
            <w:vertAlign w:val="superscript"/>
          </w:rPr>
          <w:t>178</w:t>
        </w:r>
      </w:hyperlink>
      <w:r w:rsidRPr="008842DF">
        <w:rPr>
          <w:rFonts w:ascii="Times New Roman" w:eastAsia="Times New Roman" w:hAnsi="Times New Roman"/>
          <w:bCs w:val="0"/>
          <w:szCs w:val="20"/>
        </w:rPr>
        <w:t>​</w:t>
      </w:r>
      <w:r w:rsidRPr="008842DF">
        <w:rPr>
          <w:rFonts w:eastAsia="Times New Roman"/>
          <w:bCs w:val="0"/>
          <w:szCs w:val="20"/>
        </w:rPr>
        <w:t xml:space="preserve"> </w:t>
      </w:r>
    </w:p>
    <w:p w:rsidR="004D67CE" w:rsidRPr="008842DF" w:rsidRDefault="004D67CE" w:rsidP="008842DF">
      <w:pPr>
        <w:rPr>
          <w:szCs w:val="20"/>
        </w:rPr>
      </w:pPr>
    </w:p>
    <w:sectPr w:rsidR="004D67CE" w:rsidRPr="008842DF"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842DF"/>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68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2DF"/>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34B"/>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95B"/>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8842DF"/>
  </w:style>
  <w:style w:type="paragraph" w:styleId="NormalWeb">
    <w:name w:val="Normal (Web)"/>
    <w:basedOn w:val="Normal"/>
    <w:uiPriority w:val="99"/>
    <w:semiHidden/>
    <w:unhideWhenUsed/>
    <w:rsid w:val="008842DF"/>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8842DF"/>
    <w:rPr>
      <w:color w:val="0000FF"/>
      <w:u w:val="single"/>
    </w:rPr>
  </w:style>
</w:styles>
</file>

<file path=word/webSettings.xml><?xml version="1.0" encoding="utf-8"?>
<w:webSettings xmlns:r="http://schemas.openxmlformats.org/officeDocument/2006/relationships" xmlns:w="http://schemas.openxmlformats.org/wordprocessingml/2006/main">
  <w:divs>
    <w:div w:id="1376854061">
      <w:bodyDiv w:val="1"/>
      <w:marLeft w:val="0"/>
      <w:marRight w:val="0"/>
      <w:marTop w:val="0"/>
      <w:marBottom w:val="0"/>
      <w:divBdr>
        <w:top w:val="none" w:sz="0" w:space="0" w:color="auto"/>
        <w:left w:val="none" w:sz="0" w:space="0" w:color="auto"/>
        <w:bottom w:val="none" w:sz="0" w:space="0" w:color="auto"/>
        <w:right w:val="none" w:sz="0" w:space="0" w:color="auto"/>
      </w:divBdr>
      <w:divsChild>
        <w:div w:id="253169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13033">
              <w:marLeft w:val="0"/>
              <w:marRight w:val="0"/>
              <w:marTop w:val="0"/>
              <w:marBottom w:val="0"/>
              <w:divBdr>
                <w:top w:val="none" w:sz="0" w:space="0" w:color="auto"/>
                <w:left w:val="none" w:sz="0" w:space="0" w:color="auto"/>
                <w:bottom w:val="none" w:sz="0" w:space="0" w:color="auto"/>
                <w:right w:val="none" w:sz="0" w:space="0" w:color="auto"/>
              </w:divBdr>
              <w:divsChild>
                <w:div w:id="7214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ogecable" TargetMode="External"/><Relationship Id="rId18" Type="http://schemas.openxmlformats.org/officeDocument/2006/relationships/hyperlink" Target="https://es.wikipedia.org/wiki/Jes%C3%BAs_de_Polanco" TargetMode="External"/><Relationship Id="rId26" Type="http://schemas.openxmlformats.org/officeDocument/2006/relationships/hyperlink" Target="https://es.wikipedia.org/wiki/Antonio_Garc%C3%ADa-Trevijano" TargetMode="External"/><Relationship Id="rId39" Type="http://schemas.openxmlformats.org/officeDocument/2006/relationships/hyperlink" Target="https://es.wikipedia.org/wiki/Antonio_Garc%C3%ADa-Trevijano" TargetMode="External"/><Relationship Id="rId21" Type="http://schemas.openxmlformats.org/officeDocument/2006/relationships/hyperlink" Target="https://es.wikipedia.org/wiki/Antonio_Garc%C3%ADa-Trevijano" TargetMode="External"/><Relationship Id="rId34" Type="http://schemas.openxmlformats.org/officeDocument/2006/relationships/hyperlink" Target="https://es.wikipedia.org/wiki/Ignacio_Gordillo" TargetMode="External"/><Relationship Id="rId42" Type="http://schemas.openxmlformats.org/officeDocument/2006/relationships/hyperlink" Target="https://es.wikipedia.org/wiki/Calumnia" TargetMode="External"/><Relationship Id="rId47" Type="http://schemas.openxmlformats.org/officeDocument/2006/relationships/hyperlink" Target="https://es.wikipedia.org/wiki/Antonio_Garc%C3%ADa-Trevijano" TargetMode="External"/><Relationship Id="rId50" Type="http://schemas.openxmlformats.org/officeDocument/2006/relationships/hyperlink" Target="https://es.wikipedia.org/wiki/Ignacio_Gordillo" TargetMode="External"/><Relationship Id="rId55" Type="http://schemas.openxmlformats.org/officeDocument/2006/relationships/hyperlink" Target="https://es.wikipedia.org/wiki/Izquierda_Unida_(Espa%C3%B1a)" TargetMode="External"/><Relationship Id="rId63" Type="http://schemas.openxmlformats.org/officeDocument/2006/relationships/hyperlink" Target="https://es.wikipedia.org/wiki/Julen_Elgorriaga" TargetMode="External"/><Relationship Id="rId68" Type="http://schemas.openxmlformats.org/officeDocument/2006/relationships/hyperlink" Target="https://es.wikipedia.org/wiki/Antonio_Garc%C3%ADa-Trevijano" TargetMode="External"/><Relationship Id="rId7" Type="http://schemas.openxmlformats.org/officeDocument/2006/relationships/hyperlink" Target="https://es.wikipedia.org/wiki/Antonio_Garc%C3%ADa-Trevijano" TargetMode="External"/><Relationship Id="rId2" Type="http://schemas.openxmlformats.org/officeDocument/2006/relationships/settings" Target="settings.xml"/><Relationship Id="rId16" Type="http://schemas.openxmlformats.org/officeDocument/2006/relationships/hyperlink" Target="https://es.wikipedia.org/wiki/Jaime_Campmany" TargetMode="External"/><Relationship Id="rId29" Type="http://schemas.openxmlformats.org/officeDocument/2006/relationships/hyperlink" Target="https://es.wikipedia.org/wiki/Antonio_Garc%C3%ADa-Trevijano" TargetMode="External"/><Relationship Id="rId1" Type="http://schemas.openxmlformats.org/officeDocument/2006/relationships/styles" Target="styles.xml"/><Relationship Id="rId6" Type="http://schemas.openxmlformats.org/officeDocument/2006/relationships/hyperlink" Target="https://es.wikipedia.org/w/index.php?title=Caso_Sogecable&amp;action=edit&amp;redlink=1" TargetMode="External"/><Relationship Id="rId11" Type="http://schemas.openxmlformats.org/officeDocument/2006/relationships/hyperlink" Target="https://es.wikipedia.org/wiki/Luis_Mar%C3%ADa_Ans%C3%B3n" TargetMode="External"/><Relationship Id="rId24" Type="http://schemas.openxmlformats.org/officeDocument/2006/relationships/hyperlink" Target="https://es.wikipedia.org/wiki/Audiencia_Nacional" TargetMode="External"/><Relationship Id="rId32" Type="http://schemas.openxmlformats.org/officeDocument/2006/relationships/hyperlink" Target="https://es.wikipedia.org/wiki/Javier_G%C3%B3mez_de_Lia%C3%B1o" TargetMode="External"/><Relationship Id="rId37" Type="http://schemas.openxmlformats.org/officeDocument/2006/relationships/hyperlink" Target="https://es.wikipedia.org/wiki/Antonio_Garc%C3%ADa-Trevijano" TargetMode="External"/><Relationship Id="rId40" Type="http://schemas.openxmlformats.org/officeDocument/2006/relationships/hyperlink" Target="https://es.wikipedia.org/wiki/Antonio_Garc%C3%ADa-Trevijano" TargetMode="External"/><Relationship Id="rId45" Type="http://schemas.openxmlformats.org/officeDocument/2006/relationships/hyperlink" Target="https://es.wikipedia.org/wiki/Prevaricaci%C3%B3n" TargetMode="External"/><Relationship Id="rId53" Type="http://schemas.openxmlformats.org/officeDocument/2006/relationships/hyperlink" Target="https://es.wikipedia.org/wiki/Tribunal_Constitucional_(Espa%C3%B1a)" TargetMode="External"/><Relationship Id="rId58" Type="http://schemas.openxmlformats.org/officeDocument/2006/relationships/hyperlink" Target="https://es.wikipedia.org/wiki/Gobiernos_de_Felipe_Gonz%C3%A1lez" TargetMode="External"/><Relationship Id="rId66" Type="http://schemas.openxmlformats.org/officeDocument/2006/relationships/hyperlink" Target="https://es.wikipedia.org/wiki/Antonio_Garc%C3%ADa-Trevijano" TargetMode="External"/><Relationship Id="rId5" Type="http://schemas.openxmlformats.org/officeDocument/2006/relationships/hyperlink" Target="https://es.wikipedia.org/wiki/Pilar_Urbano" TargetMode="External"/><Relationship Id="rId15" Type="http://schemas.openxmlformats.org/officeDocument/2006/relationships/hyperlink" Target="https://es.wikipedia.org/wiki/Canal_Plus_(Espa%C3%B1a)" TargetMode="External"/><Relationship Id="rId23" Type="http://schemas.openxmlformats.org/officeDocument/2006/relationships/hyperlink" Target="https://es.wikipedia.org/wiki/Antonio_Garc%C3%ADa-Trevijano" TargetMode="External"/><Relationship Id="rId28" Type="http://schemas.openxmlformats.org/officeDocument/2006/relationships/hyperlink" Target="https://es.wikipedia.org/wiki/Apropiaci%C3%B3n_indebida" TargetMode="External"/><Relationship Id="rId36" Type="http://schemas.openxmlformats.org/officeDocument/2006/relationships/hyperlink" Target="https://es.wikipedia.org/wiki/Tribunal_Supremo_(Espa%C3%B1a)" TargetMode="External"/><Relationship Id="rId49" Type="http://schemas.openxmlformats.org/officeDocument/2006/relationships/hyperlink" Target="https://es.wikipedia.org/wiki/Audiencia_Nacional" TargetMode="External"/><Relationship Id="rId57" Type="http://schemas.openxmlformats.org/officeDocument/2006/relationships/hyperlink" Target="https://es.wikipedia.org/wiki/Grupos_Antiterroristas_de_Liberaci%C3%B3n" TargetMode="External"/><Relationship Id="rId61" Type="http://schemas.openxmlformats.org/officeDocument/2006/relationships/hyperlink" Target="https://es.wikipedia.org/wiki/Cuartel_de_Inchaurrondo" TargetMode="External"/><Relationship Id="rId10" Type="http://schemas.openxmlformats.org/officeDocument/2006/relationships/hyperlink" Target="https://es.wikipedia.org/wiki/Jes%C3%BAs_Neira_Rodr%C3%ADguez" TargetMode="External"/><Relationship Id="rId19" Type="http://schemas.openxmlformats.org/officeDocument/2006/relationships/hyperlink" Target="https://es.wikipedia.org/wiki/Antonio_Garc%C3%ADa-Trevijano" TargetMode="External"/><Relationship Id="rId31" Type="http://schemas.openxmlformats.org/officeDocument/2006/relationships/hyperlink" Target="https://es.wikipedia.org/wiki/Antonio_Garc%C3%ADa-Trevijano" TargetMode="External"/><Relationship Id="rId44" Type="http://schemas.openxmlformats.org/officeDocument/2006/relationships/hyperlink" Target="https://es.wikipedia.org/wiki/Jes%C3%BAs_de_Polanco" TargetMode="External"/><Relationship Id="rId52" Type="http://schemas.openxmlformats.org/officeDocument/2006/relationships/hyperlink" Target="https://es.wikipedia.org/wiki/Antonio_Garc%C3%ADa-Trevijano" TargetMode="External"/><Relationship Id="rId60" Type="http://schemas.openxmlformats.org/officeDocument/2006/relationships/hyperlink" Target="https://es.wikipedia.org/wiki/Caso_Lasa_y_Zabala" TargetMode="External"/><Relationship Id="rId65" Type="http://schemas.openxmlformats.org/officeDocument/2006/relationships/hyperlink" Target="https://es.wikipedia.org/wiki/Tribunal_Europeo_de_Derechos_Humanos" TargetMode="External"/><Relationship Id="rId4" Type="http://schemas.openxmlformats.org/officeDocument/2006/relationships/hyperlink" Target="https://es.wikipedia.org/wiki/Baltasar_Garz%C3%B3n" TargetMode="External"/><Relationship Id="rId9" Type="http://schemas.openxmlformats.org/officeDocument/2006/relationships/hyperlink" Target="https://es.wikipedia.org/wiki/Joaqu%C3%ADn_Navarro_Estevan" TargetMode="External"/><Relationship Id="rId14" Type="http://schemas.openxmlformats.org/officeDocument/2006/relationships/hyperlink" Target="https://es.wikipedia.org/wiki/Grupo_PRISA" TargetMode="External"/><Relationship Id="rId22" Type="http://schemas.openxmlformats.org/officeDocument/2006/relationships/hyperlink" Target="https://es.wikipedia.org/wiki/Juan_Carlos_I" TargetMode="External"/><Relationship Id="rId27" Type="http://schemas.openxmlformats.org/officeDocument/2006/relationships/hyperlink" Target="https://es.wikipedia.org/wiki/Juan_Luis_Cebri%C3%A1n" TargetMode="External"/><Relationship Id="rId30" Type="http://schemas.openxmlformats.org/officeDocument/2006/relationships/hyperlink" Target="https://es.wikipedia.org/wiki/Fax" TargetMode="External"/><Relationship Id="rId35" Type="http://schemas.openxmlformats.org/officeDocument/2006/relationships/hyperlink" Target="https://es.wikipedia.org/w/index.php?title=Mar%C3%ADa_Dolores_M%C3%A1rquez_de_Prado&amp;action=edit&amp;redlink=1" TargetMode="External"/><Relationship Id="rId43" Type="http://schemas.openxmlformats.org/officeDocument/2006/relationships/hyperlink" Target="https://es.wikipedia.org/wiki/Antonio_Garc%C3%ADa-Trevijano" TargetMode="External"/><Relationship Id="rId48" Type="http://schemas.openxmlformats.org/officeDocument/2006/relationships/hyperlink" Target="https://es.wikipedia.org/wiki/Enrique_Bacigalupo" TargetMode="External"/><Relationship Id="rId56" Type="http://schemas.openxmlformats.org/officeDocument/2006/relationships/hyperlink" Target="https://es.wikipedia.org/wiki/Congreso_de_los_Diputados" TargetMode="External"/><Relationship Id="rId64" Type="http://schemas.openxmlformats.org/officeDocument/2006/relationships/hyperlink" Target="https://es.wikipedia.org/wiki/Antonio_Garc%C3%ADa-Trevijano" TargetMode="External"/><Relationship Id="rId69" Type="http://schemas.openxmlformats.org/officeDocument/2006/relationships/fontTable" Target="fontTable.xml"/><Relationship Id="rId8" Type="http://schemas.openxmlformats.org/officeDocument/2006/relationships/hyperlink" Target="https://es.wikipedia.org/wiki/ABC_(peri%C3%B3dico)" TargetMode="External"/><Relationship Id="rId51" Type="http://schemas.openxmlformats.org/officeDocument/2006/relationships/hyperlink" Target="https://es.wikipedia.org/wiki/Eduardo_Fungairi%C3%B1o" TargetMode="External"/><Relationship Id="rId3" Type="http://schemas.openxmlformats.org/officeDocument/2006/relationships/webSettings" Target="webSettings.xml"/><Relationship Id="rId12" Type="http://schemas.openxmlformats.org/officeDocument/2006/relationships/hyperlink" Target="https://es.wikipedia.org/wiki/Secretario_de_Estado_(Espa%C3%B1a)" TargetMode="External"/><Relationship Id="rId17" Type="http://schemas.openxmlformats.org/officeDocument/2006/relationships/hyperlink" Target="https://es.wikipedia.org/w/index.php?title=Francisco_Javier_S%C3%A1inz_Moreno&amp;action=edit&amp;redlink=1" TargetMode="External"/><Relationship Id="rId25" Type="http://schemas.openxmlformats.org/officeDocument/2006/relationships/hyperlink" Target="https://es.wikipedia.org/wiki/Javier_G%C3%B3mez_de_Lia%C3%B1o" TargetMode="External"/><Relationship Id="rId33" Type="http://schemas.openxmlformats.org/officeDocument/2006/relationships/hyperlink" Target="https://es.wikipedia.org/wiki/Joaqu%C3%ADn_Navarro_Estevan" TargetMode="External"/><Relationship Id="rId38" Type="http://schemas.openxmlformats.org/officeDocument/2006/relationships/hyperlink" Target="https://es.wikipedia.org/wiki/Antonio_Garc%C3%ADa-Trevijano" TargetMode="External"/><Relationship Id="rId46" Type="http://schemas.openxmlformats.org/officeDocument/2006/relationships/hyperlink" Target="https://es.wikipedia.org/wiki/Tribunal_Supremo_(Espa%C3%B1a)" TargetMode="External"/><Relationship Id="rId59" Type="http://schemas.openxmlformats.org/officeDocument/2006/relationships/hyperlink" Target="https://es.wikipedia.org/wiki/Terrorismo_de_Estado" TargetMode="External"/><Relationship Id="rId67" Type="http://schemas.openxmlformats.org/officeDocument/2006/relationships/hyperlink" Target="https://es.wikipedia.org/wiki/Convenci%C3%B3n_Europea_de_Derechos_Humanos" TargetMode="External"/><Relationship Id="rId20" Type="http://schemas.openxmlformats.org/officeDocument/2006/relationships/hyperlink" Target="https://es.wikipedia.org/wiki/Antonio_Garc%C3%ADa-Trevijano" TargetMode="External"/><Relationship Id="rId41" Type="http://schemas.openxmlformats.org/officeDocument/2006/relationships/hyperlink" Target="https://es.wikipedia.org/wiki/Europa_Press" TargetMode="External"/><Relationship Id="rId54" Type="http://schemas.openxmlformats.org/officeDocument/2006/relationships/hyperlink" Target="https://es.wikipedia.org/wiki/Willy_Meyer" TargetMode="External"/><Relationship Id="rId62" Type="http://schemas.openxmlformats.org/officeDocument/2006/relationships/hyperlink" Target="https://es.wikipedia.org/wiki/Enrique_Rodr%C3%ADguez_Galindo"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2089</Words>
  <Characters>11494</Characters>
  <Application>Microsoft Office Word</Application>
  <DocSecurity>0</DocSecurity>
  <Lines>95</Lines>
  <Paragraphs>27</Paragraphs>
  <ScaleCrop>false</ScaleCrop>
  <Company/>
  <LinksUpToDate>false</LinksUpToDate>
  <CharactersWithSpaces>13556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2023-05-22T18:26:00Z</dcterms:created>
  <dcterms:modified xsi:type="dcterms:W3CDTF">2023-05-22T18:27:00Z</dcterms:modified>
</cp:coreProperties>
</file>