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82E" w:rsidRDefault="0060582E" w:rsidP="0060582E">
      <w:pPr>
        <w:rPr>
          <w:rFonts w:eastAsia="Times New Roman" w:cs="Times New Roman"/>
          <w:iCs/>
          <w:color w:val="000000"/>
          <w:szCs w:val="20"/>
          <w:lang w:eastAsia="es-ES"/>
        </w:rPr>
      </w:pPr>
      <w:r w:rsidRPr="0060582E">
        <w:rPr>
          <w:rFonts w:eastAsia="Times New Roman" w:cs="Helvetica"/>
          <w:b/>
          <w:bCs/>
          <w:color w:val="000000"/>
          <w:szCs w:val="20"/>
          <w:lang w:eastAsia="es-ES"/>
        </w:rPr>
        <w:t>PEMEX GENOCIDA</w:t>
      </w:r>
      <w:r w:rsidRPr="0060582E">
        <w:rPr>
          <w:rFonts w:eastAsia="Times New Roman" w:cs="Times New Roman"/>
          <w:color w:val="000000"/>
          <w:szCs w:val="20"/>
          <w:lang w:eastAsia="es-ES"/>
        </w:rPr>
        <w:br/>
      </w:r>
      <w:r w:rsidRPr="0060582E">
        <w:rPr>
          <w:rFonts w:eastAsia="Times New Roman" w:cs="Times New Roman"/>
          <w:iCs/>
          <w:color w:val="000000"/>
          <w:szCs w:val="20"/>
          <w:lang w:eastAsia="es-ES"/>
        </w:rPr>
        <w:t>GASTÓN PARDO PÉREZ</w:t>
      </w:r>
    </w:p>
    <w:p w:rsidR="0060582E" w:rsidRDefault="0060582E" w:rsidP="0060582E">
      <w:pPr>
        <w:rPr>
          <w:rFonts w:eastAsia="Times New Roman" w:cs="Times New Roman"/>
          <w:color w:val="000000"/>
          <w:szCs w:val="20"/>
          <w:lang w:eastAsia="es-ES"/>
        </w:rPr>
      </w:pPr>
      <w:r>
        <w:rPr>
          <w:rFonts w:eastAsia="Times New Roman" w:cs="Times New Roman"/>
          <w:iCs/>
          <w:color w:val="000000"/>
          <w:szCs w:val="20"/>
          <w:lang w:eastAsia="es-ES"/>
        </w:rPr>
        <w:t xml:space="preserve">APORREA.ORG. </w:t>
      </w:r>
      <w:r w:rsidRPr="0060582E">
        <w:rPr>
          <w:rFonts w:eastAsia="Times New Roman" w:cs="Times New Roman"/>
          <w:color w:val="000000"/>
          <w:szCs w:val="20"/>
          <w:lang w:eastAsia="es-ES"/>
        </w:rPr>
        <w:t>12/04/18 </w:t>
      </w:r>
    </w:p>
    <w:p w:rsidR="0060582E" w:rsidRDefault="0050220F" w:rsidP="0060582E">
      <w:hyperlink r:id="rId4" w:history="1">
        <w:r w:rsidR="0060582E" w:rsidRPr="0060582E">
          <w:rPr>
            <w:rFonts w:eastAsia="Times New Roman" w:cs="Times New Roman"/>
            <w:color w:val="0000FF"/>
            <w:szCs w:val="20"/>
            <w:lang w:eastAsia="es-ES"/>
          </w:rPr>
          <w:t>www.aporrea.org/internacionales/a261767.html</w:t>
        </w:r>
      </w:hyperlink>
    </w:p>
    <w:p w:rsidR="00D57F36" w:rsidRPr="0060582E" w:rsidRDefault="00D57F36" w:rsidP="0060582E">
      <w:pPr>
        <w:rPr>
          <w:rFonts w:eastAsia="Times New Roman" w:cs="Times New Roman"/>
          <w:color w:val="000000"/>
          <w:szCs w:val="20"/>
          <w:lang w:eastAsia="es-ES"/>
        </w:rPr>
      </w:pPr>
      <w:hyperlink r:id="rId5" w:history="1">
        <w:r>
          <w:rPr>
            <w:rStyle w:val="Hipervnculo"/>
          </w:rPr>
          <w:t>https://www.geopolitica.ru/es/article/pemex-genocida</w:t>
        </w:r>
      </w:hyperlink>
    </w:p>
    <w:tbl>
      <w:tblPr>
        <w:tblW w:w="5000" w:type="pct"/>
        <w:tblCellSpacing w:w="15" w:type="dxa"/>
        <w:shd w:val="clear" w:color="auto" w:fill="FFFFFF"/>
        <w:tblCellMar>
          <w:top w:w="30" w:type="dxa"/>
          <w:left w:w="30" w:type="dxa"/>
          <w:bottom w:w="30" w:type="dxa"/>
          <w:right w:w="30" w:type="dxa"/>
        </w:tblCellMar>
        <w:tblLook w:val="04A0"/>
      </w:tblPr>
      <w:tblGrid>
        <w:gridCol w:w="9758"/>
      </w:tblGrid>
      <w:tr w:rsidR="0060582E" w:rsidRPr="0060582E" w:rsidTr="0060582E">
        <w:trPr>
          <w:tblCellSpacing w:w="15" w:type="dxa"/>
        </w:trPr>
        <w:tc>
          <w:tcPr>
            <w:tcW w:w="0" w:type="auto"/>
            <w:shd w:val="clear" w:color="auto" w:fill="FFFFFF"/>
            <w:vAlign w:val="center"/>
            <w:hideMark/>
          </w:tcPr>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br/>
              <w:t xml:space="preserve">Que países tan distintos como Canadá, China, Surinam, Alemania, México, Mozambique o Corea del Norte se proclamen como democracias, es la señal inequívoca de que algo falla en la definición. </w:t>
            </w:r>
            <w:proofErr w:type="spellStart"/>
            <w:r w:rsidRPr="0060582E">
              <w:rPr>
                <w:rFonts w:eastAsia="Times New Roman" w:cs="Times New Roman"/>
                <w:color w:val="000000"/>
                <w:szCs w:val="20"/>
                <w:lang w:eastAsia="es-ES"/>
              </w:rPr>
              <w:t>Wikipedia</w:t>
            </w:r>
            <w:proofErr w:type="spellEnd"/>
            <w:r w:rsidRPr="0060582E">
              <w:rPr>
                <w:rFonts w:eastAsia="Times New Roman" w:cs="Times New Roman"/>
                <w:color w:val="000000"/>
                <w:szCs w:val="20"/>
                <w:lang w:eastAsia="es-ES"/>
              </w:rPr>
              <w:t xml:space="preserve"> tiene un compendio de acepciones de este concepto de origen griego y ninguna de ellas se ajusta al infortunado régimen político de países como los mencionados</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Parece claro que las clases dominantes de esos países emplean sin escrúpulos el consabido término como propaganda para legitimarse ante los gobernados. Pero aunque todos los ciudadanos utilizaran el término, ¿significa eso que la democracia no existe por no corresponder la teoría a la práctica? ¿Estamos ante una superchería sin contenido, un mito enderezado con fines de propaganda a todos los países del planeta, tales como la Justicia, el Progreso, la Libertad?</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Antonio García-Trevijano en su aclamada obra Frente a la</w:t>
            </w:r>
            <w:r w:rsidRPr="0060582E">
              <w:rPr>
                <w:rFonts w:eastAsia="Times New Roman" w:cs="Times New Roman"/>
                <w:i/>
                <w:iCs/>
                <w:color w:val="000000"/>
                <w:szCs w:val="20"/>
                <w:lang w:eastAsia="es-ES"/>
              </w:rPr>
              <w:t> Gran Mentira</w:t>
            </w:r>
            <w:r w:rsidRPr="0060582E">
              <w:rPr>
                <w:rFonts w:eastAsia="Times New Roman" w:cs="Times New Roman"/>
                <w:color w:val="000000"/>
                <w:szCs w:val="20"/>
                <w:lang w:eastAsia="es-ES"/>
              </w:rPr>
              <w:t> un libro que escribió a los sesenta y nueve años: edad suficiente para abordar la cuestión con un criterio científico y de manera aséptica; esto es, con</w:t>
            </w:r>
            <w:r>
              <w:rPr>
                <w:rFonts w:eastAsia="Times New Roman" w:cs="Times New Roman"/>
                <w:color w:val="000000"/>
                <w:szCs w:val="20"/>
                <w:lang w:eastAsia="es-ES"/>
              </w:rPr>
              <w:t>s</w:t>
            </w:r>
            <w:r w:rsidRPr="0060582E">
              <w:rPr>
                <w:rFonts w:eastAsia="Times New Roman" w:cs="Times New Roman"/>
                <w:color w:val="000000"/>
                <w:szCs w:val="20"/>
                <w:lang w:eastAsia="es-ES"/>
              </w:rPr>
              <w:t>ciente en todo momento del peligro ideológico que vacía de contenido definido el concepto de democracia, analizando su evolución histórica y llenándola de contenido material, unívoco y jurídico. La influencia creciente del pensamiento de Trevijano ha recobrado un terreno amplio para el ejercicio y la propuesta democráticos.</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García-Trevijano compara la democracia con el ajedrez: sus reglas son constitutivas, unívocas, de una precisión matemática, inequívocas, imposibles de malinterpretar o tergiversar. Por eso, dos enemigos declarados pueden jugar perfectamente al ajedrez sin necesidad de un árbitro: así de claras y precisas son las reglas.</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 xml:space="preserve">Si alguno de los jugadores moviese la Torre en diagonal, ¿estaría jugando al ajedrez? De ningún modo: eso no sería ajedrez. Sería otra cosa, otro juego, por mucho que el infractor dijese una y otra vez que eso sí es ajedrez (y tuviese detrás a una caterva de portavoces, periodistas, profesores que mantuviesen la mentira como su medio de vida). </w:t>
            </w:r>
            <w:proofErr w:type="gramStart"/>
            <w:r w:rsidRPr="0060582E">
              <w:rPr>
                <w:rFonts w:eastAsia="Times New Roman" w:cs="Times New Roman"/>
                <w:color w:val="000000"/>
                <w:szCs w:val="20"/>
                <w:lang w:eastAsia="es-ES"/>
              </w:rPr>
              <w:t>en</w:t>
            </w:r>
            <w:proofErr w:type="gramEnd"/>
            <w:r w:rsidRPr="0060582E">
              <w:rPr>
                <w:rFonts w:eastAsia="Times New Roman" w:cs="Times New Roman"/>
                <w:color w:val="000000"/>
                <w:szCs w:val="20"/>
                <w:lang w:eastAsia="es-ES"/>
              </w:rPr>
              <w:t xml:space="preserve"> México hay sobrados ejemplos del mal juego de ajedrez.</w:t>
            </w:r>
          </w:p>
          <w:p w:rsidR="0060582E" w:rsidRDefault="0060582E" w:rsidP="0060582E">
            <w:pPr>
              <w:rPr>
                <w:rFonts w:eastAsia="Times New Roman" w:cs="Times New Roman"/>
                <w:b/>
                <w:bCs/>
                <w:color w:val="000000"/>
                <w:szCs w:val="20"/>
                <w:lang w:eastAsia="es-ES"/>
              </w:rPr>
            </w:pPr>
          </w:p>
          <w:p w:rsidR="0060582E" w:rsidRPr="0060582E" w:rsidRDefault="0060582E" w:rsidP="0060582E">
            <w:pPr>
              <w:rPr>
                <w:rFonts w:eastAsia="Times New Roman" w:cs="Times New Roman"/>
                <w:color w:val="000000"/>
                <w:szCs w:val="20"/>
                <w:lang w:eastAsia="es-ES"/>
              </w:rPr>
            </w:pPr>
            <w:r w:rsidRPr="0060582E">
              <w:rPr>
                <w:rFonts w:eastAsia="Times New Roman" w:cs="Times New Roman"/>
                <w:b/>
                <w:bCs/>
                <w:color w:val="000000"/>
                <w:szCs w:val="20"/>
                <w:lang w:eastAsia="es-ES"/>
              </w:rPr>
              <w:t xml:space="preserve">Pemex bajo la mira de Alfredo </w:t>
            </w:r>
            <w:proofErr w:type="spellStart"/>
            <w:r w:rsidRPr="0060582E">
              <w:rPr>
                <w:rFonts w:eastAsia="Times New Roman" w:cs="Times New Roman"/>
                <w:b/>
                <w:bCs/>
                <w:color w:val="000000"/>
                <w:szCs w:val="20"/>
                <w:lang w:eastAsia="es-ES"/>
              </w:rPr>
              <w:t>Jalife</w:t>
            </w:r>
            <w:proofErr w:type="spellEnd"/>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 xml:space="preserve">El derrotero de los energéticos mexicanos ya lo ha anunciado Alfredo </w:t>
            </w:r>
            <w:proofErr w:type="spellStart"/>
            <w:r w:rsidRPr="0060582E">
              <w:rPr>
                <w:rFonts w:eastAsia="Times New Roman" w:cs="Times New Roman"/>
                <w:color w:val="000000"/>
                <w:szCs w:val="20"/>
                <w:lang w:eastAsia="es-ES"/>
              </w:rPr>
              <w:t>Jalife</w:t>
            </w:r>
            <w:proofErr w:type="spellEnd"/>
            <w:r w:rsidRPr="0060582E">
              <w:rPr>
                <w:rFonts w:eastAsia="Times New Roman" w:cs="Times New Roman"/>
                <w:color w:val="000000"/>
                <w:szCs w:val="20"/>
                <w:lang w:eastAsia="es-ES"/>
              </w:rPr>
              <w:t xml:space="preserve"> en una de sus magistrales conferencias, es un capítulo de la integración energética de América del Norte, que debería incluir a muchos otros campos porque tiene como epicentro a Estados Unidos. Agregamos a su previsión, inimaginable para la burocracia parasitaria, que en ese caso de la energía, la posesión del acceso superficial al subsuelo se regirá por una nueva legislación.</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 xml:space="preserve">Tenemos en México, a un país impactado por una serie indefinida de situaciones concéntricas, circulares, todas ellas complejas, que la oligarquía dominante es incapaz de definir ni contener. Esas situaciones enraizaron en México después de ser plantadas por representantes de la antropología formados en la academia estadounidense en los cursos de </w:t>
            </w:r>
            <w:proofErr w:type="spellStart"/>
            <w:r w:rsidRPr="0060582E">
              <w:rPr>
                <w:rFonts w:eastAsia="Times New Roman" w:cs="Times New Roman"/>
                <w:color w:val="000000"/>
                <w:szCs w:val="20"/>
                <w:lang w:eastAsia="es-ES"/>
              </w:rPr>
              <w:t>Amitai</w:t>
            </w:r>
            <w:proofErr w:type="spellEnd"/>
            <w:r w:rsidRPr="0060582E">
              <w:rPr>
                <w:rFonts w:eastAsia="Times New Roman" w:cs="Times New Roman"/>
                <w:color w:val="000000"/>
                <w:szCs w:val="20"/>
                <w:lang w:eastAsia="es-ES"/>
              </w:rPr>
              <w:t xml:space="preserve"> </w:t>
            </w:r>
            <w:proofErr w:type="spellStart"/>
            <w:r w:rsidRPr="0060582E">
              <w:rPr>
                <w:rFonts w:eastAsia="Times New Roman" w:cs="Times New Roman"/>
                <w:color w:val="000000"/>
                <w:szCs w:val="20"/>
                <w:lang w:eastAsia="es-ES"/>
              </w:rPr>
              <w:t>Enzioni</w:t>
            </w:r>
            <w:proofErr w:type="spellEnd"/>
            <w:r w:rsidRPr="0060582E">
              <w:rPr>
                <w:rFonts w:eastAsia="Times New Roman" w:cs="Times New Roman"/>
                <w:color w:val="000000"/>
                <w:szCs w:val="20"/>
                <w:lang w:eastAsia="es-ES"/>
              </w:rPr>
              <w:t xml:space="preserve">, especialista en ingeniería social (actual articulista del diario </w:t>
            </w:r>
            <w:proofErr w:type="spellStart"/>
            <w:r w:rsidRPr="0060582E">
              <w:rPr>
                <w:rFonts w:eastAsia="Times New Roman" w:cs="Times New Roman"/>
                <w:color w:val="000000"/>
                <w:szCs w:val="20"/>
                <w:lang w:eastAsia="es-ES"/>
              </w:rPr>
              <w:t>Haaretz</w:t>
            </w:r>
            <w:proofErr w:type="spellEnd"/>
            <w:r w:rsidRPr="0060582E">
              <w:rPr>
                <w:rFonts w:eastAsia="Times New Roman" w:cs="Times New Roman"/>
                <w:color w:val="000000"/>
                <w:szCs w:val="20"/>
                <w:lang w:eastAsia="es-ES"/>
              </w:rPr>
              <w:t>).</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 xml:space="preserve">Esos antropólogos que pasaron por hombres y mujeres de ideas avanzadas influyeron en el medio rural, indígena y campesino, desde los años sesentas. En los años del gobierno de James Carter (1977- 1981) se formaron en la América Latina centenares de organismos no </w:t>
            </w:r>
            <w:r w:rsidRPr="0060582E">
              <w:rPr>
                <w:rFonts w:eastAsia="Times New Roman" w:cs="Times New Roman"/>
                <w:color w:val="000000"/>
                <w:szCs w:val="20"/>
                <w:lang w:eastAsia="es-ES"/>
              </w:rPr>
              <w:lastRenderedPageBreak/>
              <w:t>gubernamentales que actuaron en las etnias y la población marginada de las grandes ciudades.</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Aparecieron en esos años los primeros fermentos del crimen organizado, que recibieron la bendición oficial del gobierno mexicano presidido por Miguel de la Madrid. Entre 1982 y 1988 aparece la primera hibridación criminal de clase política con delincuencia, que ha seguido en nuestros días.</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 xml:space="preserve">Una nueva </w:t>
            </w:r>
            <w:proofErr w:type="spellStart"/>
            <w:r w:rsidRPr="0060582E">
              <w:rPr>
                <w:rFonts w:eastAsia="Times New Roman" w:cs="Times New Roman"/>
                <w:color w:val="000000"/>
                <w:szCs w:val="20"/>
                <w:lang w:eastAsia="es-ES"/>
              </w:rPr>
              <w:t>hibidación</w:t>
            </w:r>
            <w:proofErr w:type="spellEnd"/>
            <w:r w:rsidRPr="0060582E">
              <w:rPr>
                <w:rFonts w:eastAsia="Times New Roman" w:cs="Times New Roman"/>
                <w:color w:val="000000"/>
                <w:szCs w:val="20"/>
                <w:lang w:eastAsia="es-ES"/>
              </w:rPr>
              <w:t xml:space="preserve">, quizá la última en aparecer en los días que vivimos es la que se da entre el crimen organizado y los notarios públicos que facilitan la posesión ilegal y criminal de bienes raíces en favor de criminales. </w:t>
            </w:r>
            <w:proofErr w:type="gramStart"/>
            <w:r w:rsidRPr="0060582E">
              <w:rPr>
                <w:rFonts w:eastAsia="Times New Roman" w:cs="Times New Roman"/>
                <w:color w:val="000000"/>
                <w:szCs w:val="20"/>
                <w:lang w:eastAsia="es-ES"/>
              </w:rPr>
              <w:t>los</w:t>
            </w:r>
            <w:proofErr w:type="gramEnd"/>
            <w:r w:rsidRPr="0060582E">
              <w:rPr>
                <w:rFonts w:eastAsia="Times New Roman" w:cs="Times New Roman"/>
                <w:color w:val="000000"/>
                <w:szCs w:val="20"/>
                <w:lang w:eastAsia="es-ES"/>
              </w:rPr>
              <w:t xml:space="preserve"> documentos falsos susceptibles de predominar por el impacto del numérico (leer al criminólogo Xavier </w:t>
            </w:r>
            <w:proofErr w:type="spellStart"/>
            <w:r w:rsidRPr="0060582E">
              <w:rPr>
                <w:rFonts w:eastAsia="Times New Roman" w:cs="Times New Roman"/>
                <w:color w:val="000000"/>
                <w:szCs w:val="20"/>
                <w:lang w:eastAsia="es-ES"/>
              </w:rPr>
              <w:t>Raufer</w:t>
            </w:r>
            <w:proofErr w:type="spellEnd"/>
            <w:r w:rsidRPr="0060582E">
              <w:rPr>
                <w:rFonts w:eastAsia="Times New Roman" w:cs="Times New Roman"/>
                <w:color w:val="000000"/>
                <w:szCs w:val="20"/>
                <w:lang w:eastAsia="es-ES"/>
              </w:rPr>
              <w:t>). La sociedad del continente americano nunca ha estado en una situación de mayor riesgo y peligro. Nadie le informa.</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 xml:space="preserve">Una </w:t>
            </w:r>
            <w:proofErr w:type="gramStart"/>
            <w:r w:rsidRPr="0060582E">
              <w:rPr>
                <w:rFonts w:eastAsia="Times New Roman" w:cs="Times New Roman"/>
                <w:color w:val="000000"/>
                <w:szCs w:val="20"/>
                <w:lang w:eastAsia="es-ES"/>
              </w:rPr>
              <w:t>de los mayores centro</w:t>
            </w:r>
            <w:proofErr w:type="gramEnd"/>
            <w:r w:rsidRPr="0060582E">
              <w:rPr>
                <w:rFonts w:eastAsia="Times New Roman" w:cs="Times New Roman"/>
                <w:color w:val="000000"/>
                <w:szCs w:val="20"/>
                <w:lang w:eastAsia="es-ES"/>
              </w:rPr>
              <w:t xml:space="preserve"> de operación del crimen organizado ha tenido lugar en la empresa paraestatal PEMEX, guardiana incompetente de los hidrocarburos que brotan del subsuelo. Esta hibridación criminal con esa empresa ha sido presentada al público en por lo menos dos libros y una intensa labor periodística de Lilia Pérez, de la revista </w:t>
            </w:r>
            <w:proofErr w:type="spellStart"/>
            <w:r w:rsidRPr="0060582E">
              <w:rPr>
                <w:rFonts w:eastAsia="Times New Roman" w:cs="Times New Roman"/>
                <w:i/>
                <w:iCs/>
                <w:color w:val="000000"/>
                <w:szCs w:val="20"/>
                <w:lang w:eastAsia="es-ES"/>
              </w:rPr>
              <w:t>Contralínea</w:t>
            </w:r>
            <w:proofErr w:type="spellEnd"/>
            <w:r w:rsidRPr="0060582E">
              <w:rPr>
                <w:rFonts w:eastAsia="Times New Roman" w:cs="Times New Roman"/>
                <w:color w:val="000000"/>
                <w:szCs w:val="20"/>
                <w:lang w:eastAsia="es-ES"/>
              </w:rPr>
              <w:t>.</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 xml:space="preserve">Y como no hay mal que dure cien años (esperamos) </w:t>
            </w:r>
            <w:proofErr w:type="spellStart"/>
            <w:r w:rsidRPr="0060582E">
              <w:rPr>
                <w:rFonts w:eastAsia="Times New Roman" w:cs="Times New Roman"/>
                <w:color w:val="000000"/>
                <w:szCs w:val="20"/>
                <w:lang w:eastAsia="es-ES"/>
              </w:rPr>
              <w:t>Alfedo</w:t>
            </w:r>
            <w:proofErr w:type="spellEnd"/>
            <w:r w:rsidRPr="0060582E">
              <w:rPr>
                <w:rFonts w:eastAsia="Times New Roman" w:cs="Times New Roman"/>
                <w:color w:val="000000"/>
                <w:szCs w:val="20"/>
                <w:lang w:eastAsia="es-ES"/>
              </w:rPr>
              <w:t xml:space="preserve"> </w:t>
            </w:r>
            <w:proofErr w:type="spellStart"/>
            <w:r w:rsidRPr="0060582E">
              <w:rPr>
                <w:rFonts w:eastAsia="Times New Roman" w:cs="Times New Roman"/>
                <w:color w:val="000000"/>
                <w:szCs w:val="20"/>
                <w:lang w:eastAsia="es-ES"/>
              </w:rPr>
              <w:t>Jalife</w:t>
            </w:r>
            <w:proofErr w:type="spellEnd"/>
            <w:r w:rsidRPr="0060582E">
              <w:rPr>
                <w:rFonts w:eastAsia="Times New Roman" w:cs="Times New Roman"/>
                <w:color w:val="000000"/>
                <w:szCs w:val="20"/>
                <w:lang w:eastAsia="es-ES"/>
              </w:rPr>
              <w:t xml:space="preserve">, el maestro </w:t>
            </w:r>
            <w:proofErr w:type="spellStart"/>
            <w:r w:rsidRPr="0060582E">
              <w:rPr>
                <w:rFonts w:eastAsia="Times New Roman" w:cs="Times New Roman"/>
                <w:color w:val="000000"/>
                <w:szCs w:val="20"/>
                <w:lang w:eastAsia="es-ES"/>
              </w:rPr>
              <w:t>geopolitólogo</w:t>
            </w:r>
            <w:proofErr w:type="spellEnd"/>
            <w:r w:rsidRPr="0060582E">
              <w:rPr>
                <w:rFonts w:eastAsia="Times New Roman" w:cs="Times New Roman"/>
                <w:color w:val="000000"/>
                <w:szCs w:val="20"/>
                <w:lang w:eastAsia="es-ES"/>
              </w:rPr>
              <w:t>, prevé el renacimiento de la Norteamérica desaparecida en los dos sexenios panistas, sobre una base petrolera, minera, energética. Pemex en este esquema modernizador ha seguido empleando los métodos de acoso y asesinato de campesinos que emplearon las empresas privadas anglosajonas antes de la expropiación de 1938, para adueñarse de terrenos petroleros.</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Pemex sigue dependiendo de la actividad criminal. Por ejemplo, en la Huasteca, específicamente en Poza Rica, causó un daño enorme a un terreno perteneciente a varios copropietarios. Este no ha sido el primero en esa área. Hace unos 12 años construyó una plataforma para un pozo y desmanteló una colina para aplanar el terreno para beneficiar al pozo. Dejó en su lugar un barranco que pone en riesgo la vida de las personas que tuvieran necesidad de pasar por esa parte de la parcela 57 de Poza Rica.</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 xml:space="preserve">De cara a los nuevos daños, la empresa ofrece el pago de limosna por las afectaciones producidas. Estas tienen un valor mayor a un millón de pesos, sin contar los daños aún no pagados. De ese pago depende una intervención quirúrgica para salvar a una enferma. La empresa pregunta si no tienen otras fuentes de ingreso debido a que el pago que se reciba será pequeño y quién sabe cuándo. Esa actitud es criminal teniendo en cuenta que la empresa sacó al terreno de la actividad económica al invadir el terreno y construir el tramo de una carretera que necesitaba. Así se las gasta esta </w:t>
            </w:r>
            <w:proofErr w:type="spellStart"/>
            <w:r w:rsidRPr="0060582E">
              <w:rPr>
                <w:rFonts w:eastAsia="Times New Roman" w:cs="Times New Roman"/>
                <w:color w:val="000000"/>
                <w:szCs w:val="20"/>
                <w:lang w:eastAsia="es-ES"/>
              </w:rPr>
              <w:t>exbenemérita</w:t>
            </w:r>
            <w:proofErr w:type="spellEnd"/>
            <w:r w:rsidRPr="0060582E">
              <w:rPr>
                <w:rFonts w:eastAsia="Times New Roman" w:cs="Times New Roman"/>
                <w:color w:val="000000"/>
                <w:szCs w:val="20"/>
                <w:lang w:eastAsia="es-ES"/>
              </w:rPr>
              <w:t>.</w:t>
            </w:r>
          </w:p>
          <w:p w:rsidR="0060582E" w:rsidRDefault="0060582E" w:rsidP="0060582E">
            <w:pPr>
              <w:rPr>
                <w:rFonts w:eastAsia="Times New Roman" w:cs="Times New Roman"/>
                <w:b/>
                <w:bCs/>
                <w:color w:val="000000"/>
                <w:szCs w:val="20"/>
                <w:lang w:eastAsia="es-ES"/>
              </w:rPr>
            </w:pPr>
          </w:p>
          <w:p w:rsidR="0060582E" w:rsidRPr="0060582E" w:rsidRDefault="0060582E" w:rsidP="0060582E">
            <w:pPr>
              <w:rPr>
                <w:rFonts w:eastAsia="Times New Roman" w:cs="Times New Roman"/>
                <w:color w:val="000000"/>
                <w:szCs w:val="20"/>
                <w:lang w:eastAsia="es-ES"/>
              </w:rPr>
            </w:pPr>
            <w:r w:rsidRPr="0060582E">
              <w:rPr>
                <w:rFonts w:eastAsia="Times New Roman" w:cs="Times New Roman"/>
                <w:b/>
                <w:bCs/>
                <w:color w:val="000000"/>
                <w:szCs w:val="20"/>
                <w:lang w:eastAsia="es-ES"/>
              </w:rPr>
              <w:t>La justicia mexicana</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La politización de la Justicia y la Judicialización de la política tan sólo son vistas por los ciudadanos intuitivamente, en la situación de analfabetismo jurídico a que se ve le aboca de forma interesada. Si el desconocimiento de la Ley no justifica su incumplimiento, corresponde al Ejecutivo la disposición de todos los medios posibles para que los ciudadanos conozcan adecuadamente las instituciones y normas básicas que determinan su desenvolvimiento en sociedad. De otra manera, la burocracia parasitaria como la de Pemex seguirá agrediendo a la nación con su relativismo jurídico que no es más que el predominio de la conciencia sobre la ley.</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 xml:space="preserve">Sólo cuando la falsa originalidad de la cultura posmoderna convierte la ideología de los partidos del estado en extravagancia curricular o simple adoctrinamiento, se explica </w:t>
            </w:r>
            <w:proofErr w:type="spellStart"/>
            <w:r w:rsidRPr="0060582E">
              <w:rPr>
                <w:rFonts w:eastAsia="Times New Roman" w:cs="Times New Roman"/>
                <w:color w:val="000000"/>
                <w:szCs w:val="20"/>
                <w:lang w:eastAsia="es-ES"/>
              </w:rPr>
              <w:t>como</w:t>
            </w:r>
            <w:proofErr w:type="spellEnd"/>
            <w:r w:rsidRPr="0060582E">
              <w:rPr>
                <w:rFonts w:eastAsia="Times New Roman" w:cs="Times New Roman"/>
                <w:color w:val="000000"/>
                <w:szCs w:val="20"/>
                <w:lang w:eastAsia="es-ES"/>
              </w:rPr>
              <w:t xml:space="preserve"> lógica la ausencia en los programas de estudios de una asignatura que enseñe al menos los rudimentos de la regulación social de la conducta humana.</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color w:val="000000"/>
                <w:szCs w:val="20"/>
                <w:lang w:eastAsia="es-ES"/>
              </w:rPr>
              <w:t xml:space="preserve">La aproximación al Derecho como materia de obligado estudio se hace imprescindible en cualquier sociedad que aspire a la libertad individual y colectiva de sus ciudadanos. Sin la </w:t>
            </w:r>
            <w:r w:rsidRPr="0060582E">
              <w:rPr>
                <w:rFonts w:eastAsia="Times New Roman" w:cs="Times New Roman"/>
                <w:color w:val="000000"/>
                <w:szCs w:val="20"/>
                <w:lang w:eastAsia="es-ES"/>
              </w:rPr>
              <w:lastRenderedPageBreak/>
              <w:t>exigencia profunda y rigurosa que estudios superiores deben pedir al futuro jurista, el conocimiento de las instituciones elementales del derecho tanto público como privado debe estar presente en el acervo educativo personal de quien se reclame libre.</w:t>
            </w:r>
          </w:p>
          <w:p w:rsidR="0060582E" w:rsidRPr="0060582E" w:rsidRDefault="0060582E" w:rsidP="0060582E">
            <w:pPr>
              <w:rPr>
                <w:rFonts w:eastAsia="Times New Roman" w:cs="Times New Roman"/>
                <w:color w:val="000000"/>
                <w:szCs w:val="20"/>
                <w:lang w:eastAsia="es-ES"/>
              </w:rPr>
            </w:pPr>
            <w:r w:rsidRPr="0060582E">
              <w:rPr>
                <w:rFonts w:eastAsia="Times New Roman" w:cs="Times New Roman"/>
                <w:b/>
                <w:bCs/>
                <w:color w:val="000000"/>
                <w:szCs w:val="20"/>
                <w:lang w:eastAsia="es-ES"/>
              </w:rPr>
              <w:t>Referencia:</w:t>
            </w:r>
            <w:r w:rsidRPr="0060582E">
              <w:rPr>
                <w:rFonts w:eastAsia="Times New Roman" w:cs="Times New Roman"/>
                <w:color w:val="000000"/>
                <w:szCs w:val="20"/>
                <w:lang w:eastAsia="es-ES"/>
              </w:rPr>
              <w:br/>
            </w:r>
            <w:r w:rsidRPr="0060582E">
              <w:rPr>
                <w:rFonts w:eastAsia="Times New Roman" w:cs="Times New Roman"/>
                <w:color w:val="000000"/>
                <w:szCs w:val="20"/>
                <w:lang w:eastAsia="es-ES"/>
              </w:rPr>
              <w:br/>
            </w:r>
            <w:hyperlink r:id="rId6" w:tgtFrame="_blank" w:history="1">
              <w:r w:rsidRPr="0060582E">
                <w:rPr>
                  <w:rFonts w:eastAsia="Times New Roman" w:cs="Times New Roman"/>
                  <w:color w:val="0000FF"/>
                  <w:szCs w:val="20"/>
                  <w:lang w:eastAsia="es-ES"/>
                </w:rPr>
                <w:t>https://www.geopolitica.ru/es/article/salafismo-y-wajabismo-una-confluencia-por-el-petroleo</w:t>
              </w:r>
            </w:hyperlink>
          </w:p>
        </w:tc>
      </w:tr>
    </w:tbl>
    <w:p w:rsidR="004D67CE" w:rsidRPr="0060582E" w:rsidRDefault="004D67CE" w:rsidP="0060582E">
      <w:pPr>
        <w:rPr>
          <w:szCs w:val="20"/>
        </w:rPr>
      </w:pPr>
    </w:p>
    <w:sectPr w:rsidR="004D67CE" w:rsidRPr="0060582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0582E"/>
    <w:rsid w:val="00020EF2"/>
    <w:rsid w:val="000D6510"/>
    <w:rsid w:val="00197A49"/>
    <w:rsid w:val="001B5C1C"/>
    <w:rsid w:val="001D68CE"/>
    <w:rsid w:val="002A3165"/>
    <w:rsid w:val="002B2B48"/>
    <w:rsid w:val="003446C6"/>
    <w:rsid w:val="003816C3"/>
    <w:rsid w:val="00400AF7"/>
    <w:rsid w:val="00460FFD"/>
    <w:rsid w:val="004D67CE"/>
    <w:rsid w:val="004F37F8"/>
    <w:rsid w:val="0050220F"/>
    <w:rsid w:val="00502E7F"/>
    <w:rsid w:val="005059B6"/>
    <w:rsid w:val="0060582E"/>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57F36"/>
    <w:rsid w:val="00D845AE"/>
    <w:rsid w:val="00DE77F1"/>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ulonoticia">
    <w:name w:val="titulonoticia"/>
    <w:basedOn w:val="Fuentedeprrafopredeter"/>
    <w:rsid w:val="0060582E"/>
  </w:style>
  <w:style w:type="character" w:styleId="Hipervnculo">
    <w:name w:val="Hyperlink"/>
    <w:basedOn w:val="Fuentedeprrafopredeter"/>
    <w:uiPriority w:val="99"/>
    <w:semiHidden/>
    <w:unhideWhenUsed/>
    <w:rsid w:val="0060582E"/>
    <w:rPr>
      <w:color w:val="0000FF"/>
      <w:u w:val="single"/>
    </w:rPr>
  </w:style>
  <w:style w:type="paragraph" w:styleId="NormalWeb">
    <w:name w:val="Normal (Web)"/>
    <w:basedOn w:val="Normal"/>
    <w:uiPriority w:val="99"/>
    <w:unhideWhenUsed/>
    <w:rsid w:val="0060582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015720004">
      <w:bodyDiv w:val="1"/>
      <w:marLeft w:val="0"/>
      <w:marRight w:val="0"/>
      <w:marTop w:val="0"/>
      <w:marBottom w:val="0"/>
      <w:divBdr>
        <w:top w:val="none" w:sz="0" w:space="0" w:color="auto"/>
        <w:left w:val="none" w:sz="0" w:space="0" w:color="auto"/>
        <w:bottom w:val="none" w:sz="0" w:space="0" w:color="auto"/>
        <w:right w:val="none" w:sz="0" w:space="0" w:color="auto"/>
      </w:divBdr>
      <w:divsChild>
        <w:div w:id="1076512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3A%2F%2Fwww.geopolitica.ru%2Fes%2Farticle%2Fsalafismo-y-wajabismo-una-confluencia-por-el-petroleo&amp;sa=D&amp;sntz=1&amp;usg=AFQjCNFEFIp9NFElUgMmo3dhBYq9QXqqrw" TargetMode="External"/><Relationship Id="rId5" Type="http://schemas.openxmlformats.org/officeDocument/2006/relationships/hyperlink" Target="https://www.geopolitica.ru/es/article/pemex-genocida" TargetMode="External"/><Relationship Id="rId4" Type="http://schemas.openxmlformats.org/officeDocument/2006/relationships/hyperlink" Target="https://www.aporrea.org/internacionales/a26176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1242</Words>
  <Characters>6831</Characters>
  <Application>Microsoft Office Word</Application>
  <DocSecurity>0</DocSecurity>
  <Lines>56</Lines>
  <Paragraphs>16</Paragraphs>
  <ScaleCrop>false</ScaleCrop>
  <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2019-05-08T07:27:00Z</dcterms:created>
  <dcterms:modified xsi:type="dcterms:W3CDTF">2019-09-13T08:19:00Z</dcterms:modified>
</cp:coreProperties>
</file>