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EFA" w:rsidRPr="00AF4EFA" w:rsidRDefault="00AF4EFA" w:rsidP="00534084">
      <w:pPr>
        <w:jc w:val="both"/>
        <w:rPr>
          <w:b/>
        </w:rPr>
      </w:pPr>
      <w:r w:rsidRPr="00AF4EFA">
        <w:rPr>
          <w:b/>
        </w:rPr>
        <w:t>ORIGEN DE LA HOMOSEXUALIDAD</w:t>
      </w:r>
    </w:p>
    <w:p w:rsidR="00AF4EFA" w:rsidRDefault="00AF4EFA" w:rsidP="00534084">
      <w:pPr>
        <w:jc w:val="both"/>
      </w:pPr>
      <w:r>
        <w:t>AHORA, 7 JULIO 2005</w:t>
      </w:r>
    </w:p>
    <w:p w:rsidR="00AF4EFA" w:rsidRDefault="00AF4EFA" w:rsidP="00534084">
      <w:pPr>
        <w:jc w:val="both"/>
      </w:pPr>
      <w:r>
        <w:t>ANTONIO GARCÍA-TREVIJANO</w:t>
      </w:r>
    </w:p>
    <w:p w:rsidR="00AF4EFA" w:rsidRDefault="00AF4EFA" w:rsidP="00534084">
      <w:pPr>
        <w:jc w:val="both"/>
      </w:pPr>
    </w:p>
    <w:p w:rsidR="00AF4EFA" w:rsidRDefault="00AF4EFA" w:rsidP="00534084">
      <w:pPr>
        <w:jc w:val="both"/>
      </w:pPr>
      <w:r>
        <w:t>Los pueblos comenzaron a representar la belleza del cuerpo humano exagerando los senos y glúteos de la feminidad, y dando al pene la monumentalidad de un poder divino. La concreción de la belleza en esos símbolos desproporcionados se ha explicado con hipótesis derivadas de la evolución biológica. El fortalecimiento de los glúteos, que trajo consigo el modo erecto de caminar, dificultó el embarazo en la cópula dorso-ventral</w:t>
      </w:r>
      <w:r w:rsidR="00534084">
        <w:t>.</w:t>
      </w:r>
      <w:r>
        <w:t xml:space="preserve"> El amor cara a cara, la “bestia de dos espaldas”, como lo definió Shakespeare, fue la solución fálica al problema de la reproducción humana La belleza debió reducirse a una mera cuestión de semejanza facial. La antigua creencia de que lo semejante tiende a lo semejante fue respaldada en tiempos recientes, por la biología genética llamada de la “adaptación inclusiva”. La belleza corporal comenzó siendo una cualidad de la comunidad sanguínea</w:t>
      </w:r>
      <w:r w:rsidR="00534084">
        <w:t>.</w:t>
      </w:r>
      <w:r>
        <w:t xml:space="preserve"> Y el criterio del gusto puso la fealdad en los rasgos extranjeros de otras comunidades de sangre.</w:t>
      </w:r>
    </w:p>
    <w:p w:rsidR="00AF4EFA" w:rsidRDefault="00AF4EFA" w:rsidP="00534084">
      <w:pPr>
        <w:jc w:val="both"/>
      </w:pPr>
      <w:r>
        <w:t>La necesidad del rapto de hembras y del don de la mujer; impuesta por el tabú del incesto, creó otros criterios estéticos y superó los mecanismos instintivos del enamoramiento vecinal. La preferencia por lo semejante continuó procreando rasgos comunes. La humanidad nunca ha dejado de parecerse a sí misma. Y la nueva atracción por lo diferente engendró bellezas singulares. El cruce de sangres metió la aventura y el peligro en el amor heterosexual Raptada o donada, la mujer salió de su comunidad de sangre y entró en la sociedad política como una extra. El feminismo se inició como reacción contra la desigualdad que produce la extrañeza social de la mujer activa. El tabú del incesto, el monopolio patriarcal de las hembras y el temor a la mujer extraña abonaron con sentimientos totémicos la admisión social del amor homosexual</w:t>
      </w:r>
      <w:r w:rsidR="00534084">
        <w:t>.</w:t>
      </w:r>
      <w:r>
        <w:t xml:space="preserve"> Hoy asistimos a una inversión del proceso. Lo extraño es el hombre-hombre. Lo simple, la mujer-mujer</w:t>
      </w:r>
      <w:r w:rsidR="00534084">
        <w:t>.</w:t>
      </w:r>
      <w:r>
        <w:t xml:space="preserve"> Lo moderno, la bisexualidad. Lo progresista la homosexualidad.</w:t>
      </w:r>
    </w:p>
    <w:p w:rsidR="004D67CE" w:rsidRDefault="004D67CE" w:rsidP="00534084">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F4EFA"/>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534084"/>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F4EFA"/>
    <w:rsid w:val="00B125D2"/>
    <w:rsid w:val="00B7365E"/>
    <w:rsid w:val="00BE6AE2"/>
    <w:rsid w:val="00C15B7F"/>
    <w:rsid w:val="00C40711"/>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EF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1731</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2019-04-01T23:13:00Z</dcterms:created>
  <dcterms:modified xsi:type="dcterms:W3CDTF">2025-11-03T16:15:00Z</dcterms:modified>
</cp:coreProperties>
</file>