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0A" w:rsidRPr="0004330A" w:rsidRDefault="0004330A" w:rsidP="0004330A">
      <w:pPr>
        <w:jc w:val="left"/>
        <w:outlineLvl w:val="0"/>
        <w:rPr>
          <w:rFonts w:eastAsia="Times New Roman" w:cs="Times New Roman"/>
          <w:b/>
          <w:bCs/>
          <w:kern w:val="36"/>
          <w:szCs w:val="20"/>
          <w:lang w:val="es-ES" w:eastAsia="es-ES"/>
        </w:rPr>
      </w:pPr>
      <w:r w:rsidRPr="0004330A">
        <w:rPr>
          <w:rFonts w:eastAsia="Times New Roman" w:cs="Times New Roman"/>
          <w:b/>
          <w:bCs/>
          <w:kern w:val="36"/>
          <w:szCs w:val="20"/>
          <w:lang w:val="es-ES" w:eastAsia="es-ES"/>
        </w:rPr>
        <w:fldChar w:fldCharType="begin"/>
      </w:r>
      <w:r w:rsidRPr="0004330A">
        <w:rPr>
          <w:rFonts w:eastAsia="Times New Roman" w:cs="Times New Roman"/>
          <w:b/>
          <w:bCs/>
          <w:kern w:val="36"/>
          <w:szCs w:val="20"/>
          <w:lang w:val="es-ES" w:eastAsia="es-ES"/>
        </w:rPr>
        <w:instrText xml:space="preserve"> HYPERLINK "http://elespiadigital.org/index.php/noticias/politica/6124-rajoy-permite-que-el-juez-divar-siga-en-el-armario-pero-mete-dentro-15-escoltas-con-dinero-publico" </w:instrText>
      </w:r>
      <w:r w:rsidRPr="0004330A">
        <w:rPr>
          <w:rFonts w:eastAsia="Times New Roman" w:cs="Times New Roman"/>
          <w:b/>
          <w:bCs/>
          <w:kern w:val="36"/>
          <w:szCs w:val="20"/>
          <w:lang w:val="es-ES" w:eastAsia="es-ES"/>
        </w:rPr>
        <w:fldChar w:fldCharType="separate"/>
      </w:r>
      <w:r w:rsidRPr="0004330A">
        <w:rPr>
          <w:rFonts w:eastAsia="Times New Roman" w:cs="Times New Roman"/>
          <w:b/>
          <w:bCs/>
          <w:color w:val="0000FF"/>
          <w:kern w:val="36"/>
          <w:szCs w:val="20"/>
          <w:lang w:val="es-ES" w:eastAsia="es-ES"/>
        </w:rPr>
        <w:t>RAJOY PERMITE QUE EL JUEZ DÍVAR SIGA EN EL ARMARIO, PERO METE DENTRO 15 ESCOLTAS CON DINERO PÚBLICO</w:t>
      </w:r>
      <w:r w:rsidRPr="0004330A">
        <w:rPr>
          <w:rFonts w:eastAsia="Times New Roman" w:cs="Times New Roman"/>
          <w:b/>
          <w:bCs/>
          <w:kern w:val="36"/>
          <w:szCs w:val="20"/>
          <w:lang w:val="es-ES" w:eastAsia="es-ES"/>
        </w:rPr>
        <w:fldChar w:fldCharType="end"/>
      </w:r>
      <w:r w:rsidRPr="0004330A">
        <w:rPr>
          <w:rFonts w:eastAsia="Times New Roman" w:cs="Times New Roman"/>
          <w:b/>
          <w:bCs/>
          <w:kern w:val="36"/>
          <w:szCs w:val="20"/>
          <w:lang w:val="es-ES" w:eastAsia="es-ES"/>
        </w:rPr>
        <w:t xml:space="preserve"> </w:t>
      </w:r>
    </w:p>
    <w:p w:rsidR="0004330A" w:rsidRDefault="0004330A" w:rsidP="0004330A">
      <w:pPr>
        <w:jc w:val="left"/>
        <w:rPr>
          <w:rFonts w:eastAsia="Times New Roman" w:cs="Times New Roman"/>
          <w:szCs w:val="20"/>
          <w:lang w:val="es-ES" w:eastAsia="es-ES"/>
        </w:rPr>
      </w:pPr>
      <w:r>
        <w:rPr>
          <w:rFonts w:eastAsia="Times New Roman" w:cs="Times New Roman"/>
          <w:szCs w:val="20"/>
          <w:lang w:val="es-ES" w:eastAsia="es-ES"/>
        </w:rPr>
        <w:t>EL ESPIA DEL CONGRESO</w:t>
      </w:r>
      <w:r w:rsidRPr="0004330A">
        <w:rPr>
          <w:rFonts w:eastAsia="Times New Roman" w:cs="Times New Roman"/>
          <w:szCs w:val="20"/>
          <w:lang w:val="es-ES" w:eastAsia="es-ES"/>
        </w:rPr>
        <w:t xml:space="preserve"> 13 </w:t>
      </w:r>
      <w:r>
        <w:rPr>
          <w:rFonts w:eastAsia="Times New Roman" w:cs="Times New Roman"/>
          <w:szCs w:val="20"/>
          <w:lang w:val="es-ES" w:eastAsia="es-ES"/>
        </w:rPr>
        <w:t>JULIO</w:t>
      </w:r>
      <w:r w:rsidRPr="0004330A">
        <w:rPr>
          <w:rFonts w:eastAsia="Times New Roman" w:cs="Times New Roman"/>
          <w:szCs w:val="20"/>
          <w:lang w:val="es-ES" w:eastAsia="es-ES"/>
        </w:rPr>
        <w:t xml:space="preserve"> 2014 </w:t>
      </w:r>
    </w:p>
    <w:p w:rsidR="0004330A" w:rsidRPr="0004330A" w:rsidRDefault="0004330A" w:rsidP="0004330A">
      <w:pPr>
        <w:jc w:val="left"/>
        <w:rPr>
          <w:rFonts w:eastAsia="Times New Roman" w:cs="Times New Roman"/>
          <w:sz w:val="11"/>
          <w:szCs w:val="11"/>
          <w:lang w:val="es-ES" w:eastAsia="es-ES"/>
        </w:rPr>
      </w:pPr>
      <w:hyperlink r:id="rId5" w:history="1">
        <w:r w:rsidRPr="0004330A">
          <w:rPr>
            <w:rStyle w:val="Hipervnculo"/>
            <w:rFonts w:eastAsia="Times New Roman" w:cs="Times New Roman"/>
            <w:sz w:val="11"/>
            <w:szCs w:val="11"/>
            <w:lang w:val="es-ES" w:eastAsia="es-ES"/>
          </w:rPr>
          <w:t>http://elespiadigital.org/index.php/noticias/politica/6124-rajoy-permite-que-el-juez-divar-siga-en-el-armario-pero-mete-dentro-15-escoltas-con-dinero-publico</w:t>
        </w:r>
      </w:hyperlink>
    </w:p>
    <w:p w:rsidR="0004330A" w:rsidRDefault="0004330A" w:rsidP="0004330A">
      <w:pPr>
        <w:jc w:val="left"/>
        <w:rPr>
          <w:rFonts w:eastAsia="Times New Roman" w:cs="Times New Roman"/>
          <w:szCs w:val="20"/>
          <w:lang w:val="es-ES" w:eastAsia="es-ES"/>
        </w:rPr>
      </w:pPr>
    </w:p>
    <w:p w:rsidR="0004330A" w:rsidRPr="0004330A" w:rsidRDefault="0004330A" w:rsidP="0004330A">
      <w:pPr>
        <w:jc w:val="left"/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>La desfachatez con la que algunos miembros de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la “casta”</w:t>
      </w:r>
      <w:r w:rsidRPr="0004330A">
        <w:rPr>
          <w:rFonts w:eastAsia="Times New Roman" w:cs="Times New Roman"/>
          <w:szCs w:val="20"/>
          <w:lang w:val="es-ES" w:eastAsia="es-ES"/>
        </w:rPr>
        <w:t xml:space="preserve"> que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ocultan su condición sexual</w:t>
      </w:r>
      <w:r w:rsidRPr="0004330A">
        <w:rPr>
          <w:rFonts w:eastAsia="Times New Roman" w:cs="Times New Roman"/>
          <w:szCs w:val="20"/>
          <w:lang w:val="es-ES" w:eastAsia="es-ES"/>
        </w:rPr>
        <w:t xml:space="preserve"> utilizan sus privilegios para, amparándose en el tabú o la discriminación positiva,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dilapidar fondos públicos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es ya un escándalo que amenaza incluso a la propia solidaridad y simpatía en favor del colectivo homosexual. Primero fue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Mariano Rajoy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después el presidente del Tribunal Constitucional,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Francisco Pérez de los Cobos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y ahora el ex presidente del Tribunal Supremo y del Consejo General del Poder Judicial,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Carlos 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, que dimitió hace 2 años precisamente por usar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fondos públicos para sus viajes privados con un escolta</w:t>
      </w:r>
      <w:r w:rsidRPr="0004330A">
        <w:rPr>
          <w:rFonts w:eastAsia="Times New Roman" w:cs="Times New Roman"/>
          <w:szCs w:val="20"/>
          <w:lang w:val="es-ES" w:eastAsia="es-ES"/>
        </w:rPr>
        <w:t>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Pero si no quieres un caldo, toma 15 tazas: la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cadena SER ha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denunciado que, pese a la dimisión y a su indemnización millonaria, el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juez Carlos 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ya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no utiliza 1 sino 15 escoltas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con un coste de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385.000 euros anuales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que le ha asignado el ministro del Interior,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Jorge Fernández Díaz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mano derecha de Rajoy desde que era titular de Administraciones Públicas. Que en plena debacle económica y laboral de España se siga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despilfarrando el erario público con tanta alegría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ya no es un problema de ética, moral o salud mental, sino que se introduce de lleno en el Código Penal.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b/>
          <w:bCs/>
          <w:szCs w:val="20"/>
          <w:lang w:val="es-ES" w:eastAsia="es-ES"/>
        </w:rPr>
        <w:t>¿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Quien</w:t>
      </w:r>
      <w:proofErr w:type="spellEnd"/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es el juez Carlos 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b/>
          <w:bCs/>
          <w:szCs w:val="20"/>
          <w:lang w:val="es-ES" w:eastAsia="es-ES"/>
        </w:rPr>
        <w:t>?</w:t>
      </w:r>
      <w:r w:rsidRPr="0004330A">
        <w:rPr>
          <w:rFonts w:eastAsia="Times New Roman" w:cs="Times New Roman"/>
          <w:szCs w:val="20"/>
          <w:lang w:val="es-ES" w:eastAsia="es-ES"/>
        </w:rPr>
        <w:t xml:space="preserve"> El más alto cargo de la magistratura que dimitió hace 2 años con estas palabras: “He sufrido una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campaña cruel e injusta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tengo una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espina clavada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por el daño causado 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mi intimidad</w:t>
      </w:r>
      <w:r w:rsidRPr="0004330A">
        <w:rPr>
          <w:rFonts w:eastAsia="Times New Roman" w:cs="Times New Roman"/>
          <w:szCs w:val="20"/>
          <w:lang w:val="es-ES" w:eastAsia="es-ES"/>
        </w:rPr>
        <w:t xml:space="preserve">”. Muy emocionado, así se despidió Carlos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de los 20 vocales del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Consejo General del Poder Judicial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institución que presidió durante casi cuatro años, convirtiéndose en el primero de los seis presidentes que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se 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vió</w:t>
      </w:r>
      <w:proofErr w:type="spellEnd"/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obligado a abandonar el cargo</w:t>
      </w:r>
      <w:r w:rsidRPr="0004330A">
        <w:rPr>
          <w:rFonts w:eastAsia="Times New Roman" w:cs="Times New Roman"/>
          <w:szCs w:val="20"/>
          <w:lang w:val="es-ES" w:eastAsia="es-ES"/>
        </w:rPr>
        <w:t xml:space="preserve">. Todos pensaban que los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gastos privados de</w:t>
      </w:r>
      <w:r w:rsidRPr="0004330A">
        <w:rPr>
          <w:rFonts w:eastAsia="Times New Roman" w:cs="Times New Roman"/>
          <w:szCs w:val="20"/>
          <w:lang w:val="es-ES" w:eastAsia="es-ES"/>
        </w:rPr>
        <w:t xml:space="preserve">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una veintena de viajes</w:t>
      </w:r>
      <w:r w:rsidRPr="0004330A">
        <w:rPr>
          <w:rFonts w:eastAsia="Times New Roman" w:cs="Times New Roman"/>
          <w:szCs w:val="20"/>
          <w:lang w:val="es-ES" w:eastAsia="es-ES"/>
        </w:rPr>
        <w:t xml:space="preserve"> que cobró alegando que eran para participar en actos públicos habían acabado con una carrera profesional de 43 años, aunque lo cierto es que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nadie había exhibido más que 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su propia intimidad sexual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ante eso no cabían más lamentaciones que las del error cometido.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Nunca debió pasar como gastos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sus cenas y viajes con su escolta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el policía Jerónimo Escorial. Nunca debió llevar su aprecio por el mismo hasta el grado de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condecorarlo con galardones judiciales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como la gran cruz de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San Raimundo de Peñafort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reservada para el ámbito estrictamente jurídico. Y si no se llegan a producir las denuncias del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catedrático Gómez Benítez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las dos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hijas del agente hubieran alcanzado la oposición de juezas</w:t>
      </w:r>
      <w:r w:rsidRPr="0004330A">
        <w:rPr>
          <w:rFonts w:eastAsia="Times New Roman" w:cs="Times New Roman"/>
          <w:szCs w:val="20"/>
          <w:lang w:val="es-ES" w:eastAsia="es-ES"/>
        </w:rPr>
        <w:t xml:space="preserve"> extendiendo la duda sobre la limpieza en el acceso a los empleos públicos, tan frecuente en este país que ha abandonado el mérito y la experiencia a favor del enchufismo, el compadreo y la mal entendida amistad, convirtiéndose en un rasgo distintivo de la Monarquía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partidocrática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>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El juez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fue invitado a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la boda homosexual del juez Grande Marlasca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pero rehusó su asistencia con estas palabras: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“Que Dios te perdone”</w:t>
      </w:r>
      <w:r w:rsidRPr="0004330A">
        <w:rPr>
          <w:rFonts w:eastAsia="Times New Roman" w:cs="Times New Roman"/>
          <w:szCs w:val="20"/>
          <w:lang w:val="es-ES" w:eastAsia="es-ES"/>
        </w:rPr>
        <w:t xml:space="preserve">. Su extremada religiosidad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le impedía aceptar el enlace entre personas del mismo sexo</w:t>
      </w:r>
      <w:r w:rsidRPr="0004330A">
        <w:rPr>
          <w:rFonts w:eastAsia="Times New Roman" w:cs="Times New Roman"/>
          <w:szCs w:val="20"/>
          <w:lang w:val="es-ES" w:eastAsia="es-ES"/>
        </w:rPr>
        <w:t>. De ahí que el suyo se considerara entonces sobre todo un caso de hipocresía con derivaciones de corrupción administrativa.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Y es que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se fue acusado de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corrupción moral y económica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por pasar como gastos oficiales esa larga ristra de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viajes privados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tras airearse que había condecorado a su escolta, con quien compartía cenas, veladas y hoteles. Por eso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extraña su reaparición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ya que el premio a tanto estoicismo con el que aguantó 44 días de vendaval informativo fue suculento: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Una ley de 1980 le permitía al juez 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recibir durante dos años 8.676,84 euros mensuales</w:t>
      </w:r>
      <w:r w:rsidRPr="0004330A">
        <w:rPr>
          <w:rFonts w:eastAsia="Times New Roman" w:cs="Times New Roman"/>
          <w:szCs w:val="20"/>
          <w:lang w:val="es-ES" w:eastAsia="es-ES"/>
        </w:rPr>
        <w:t xml:space="preserve">. En total, percibirá del erario 208.244 euros simplemente por haber sido un alto cargo del Estado, pese a que su salida del puesto se produjo forzado por el escándalo de sus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32 viajes de fin de semana con cargo al presupuesto de la institución que encabezaba</w:t>
      </w:r>
      <w:r w:rsidRPr="0004330A">
        <w:rPr>
          <w:rFonts w:eastAsia="Times New Roman" w:cs="Times New Roman"/>
          <w:szCs w:val="20"/>
          <w:lang w:val="es-ES" w:eastAsia="es-ES"/>
        </w:rPr>
        <w:t>. Sus compañeros de toga, miembros igualmente de la casta judicial, ni siquiera le cursaron expediente disciplinario.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lastRenderedPageBreak/>
        <w:t xml:space="preserve">Con ser aberrante el estipendio, lo peor de todo fue que la sombra de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la sospecha se alargó sobre la mayor parte de los vocales del Consejo General del Poder Judicial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pues fueron numerosas las voces que reclamaron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transparencia sobre los gastos de viaje</w:t>
      </w:r>
      <w:r w:rsidRPr="0004330A">
        <w:rPr>
          <w:rFonts w:eastAsia="Times New Roman" w:cs="Times New Roman"/>
          <w:szCs w:val="20"/>
          <w:lang w:val="es-ES" w:eastAsia="es-ES"/>
        </w:rPr>
        <w:t xml:space="preserve"> de los máximos representantes del Poder Judicial en España. Los 20 vocales y el secretario general gastaron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en 2011 más de un millón de euros en desplazamientos</w:t>
      </w:r>
      <w:r w:rsidRPr="0004330A">
        <w:rPr>
          <w:rFonts w:eastAsia="Times New Roman" w:cs="Times New Roman"/>
          <w:szCs w:val="20"/>
          <w:lang w:val="es-ES" w:eastAsia="es-ES"/>
        </w:rPr>
        <w:t xml:space="preserve"> de los que afirmaron sin escrúpulo alguno que no pensaban aportar ni un solo dato más. “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Relaciones internacionales</w:t>
      </w:r>
      <w:r w:rsidRPr="0004330A">
        <w:rPr>
          <w:rFonts w:eastAsia="Times New Roman" w:cs="Times New Roman"/>
          <w:szCs w:val="20"/>
          <w:lang w:val="es-ES" w:eastAsia="es-ES"/>
        </w:rPr>
        <w:t>”, “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protocolo</w:t>
      </w:r>
      <w:r w:rsidRPr="0004330A">
        <w:rPr>
          <w:rFonts w:eastAsia="Times New Roman" w:cs="Times New Roman"/>
          <w:szCs w:val="20"/>
          <w:lang w:val="es-ES" w:eastAsia="es-ES"/>
        </w:rPr>
        <w:t>”, “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comidas</w:t>
      </w:r>
      <w:r w:rsidRPr="0004330A">
        <w:rPr>
          <w:rFonts w:eastAsia="Times New Roman" w:cs="Times New Roman"/>
          <w:szCs w:val="20"/>
          <w:lang w:val="es-ES" w:eastAsia="es-ES"/>
        </w:rPr>
        <w:t>”, “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cenas</w:t>
      </w:r>
      <w:r w:rsidRPr="0004330A">
        <w:rPr>
          <w:rFonts w:eastAsia="Times New Roman" w:cs="Times New Roman"/>
          <w:szCs w:val="20"/>
          <w:lang w:val="es-ES" w:eastAsia="es-ES"/>
        </w:rPr>
        <w:t>”, “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desplazamiento</w:t>
      </w:r>
      <w:r w:rsidRPr="0004330A">
        <w:rPr>
          <w:rFonts w:eastAsia="Times New Roman" w:cs="Times New Roman"/>
          <w:szCs w:val="20"/>
          <w:lang w:val="es-ES" w:eastAsia="es-ES"/>
        </w:rPr>
        <w:t xml:space="preserve">”, son los epígrafes que figuran en los gastos, pero ni un solo detalle sobre quien los usó, para qué se gastaron, con quien se almorzó o cenó y en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que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fecha.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La controversia sobre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abrió por primera vez en España el debate sobre el control de los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gastos de los altos cargos</w:t>
      </w:r>
      <w:r w:rsidRPr="0004330A">
        <w:rPr>
          <w:rFonts w:eastAsia="Times New Roman" w:cs="Times New Roman"/>
          <w:szCs w:val="20"/>
          <w:lang w:val="es-ES" w:eastAsia="es-ES"/>
        </w:rPr>
        <w:t xml:space="preserve"> administrativos, lo que se conoce en el argot político como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“el chocolate del loro”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pero que en cuestión de imagen y ejemplo ha destrozado la credibilidad de las instituciones y sus usufructuarios, la mayor parte de ellos procedentes de la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partitocracia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(</w:t>
      </w:r>
      <w:proofErr w:type="spellStart"/>
      <w:r w:rsidRPr="0004330A">
        <w:rPr>
          <w:rFonts w:eastAsia="Times New Roman" w:cs="Times New Roman"/>
          <w:b/>
          <w:bCs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fue elegido tras un pacto PSOE-PP</w:t>
      </w:r>
      <w:r w:rsidRPr="0004330A">
        <w:rPr>
          <w:rFonts w:eastAsia="Times New Roman" w:cs="Times New Roman"/>
          <w:szCs w:val="20"/>
          <w:lang w:val="es-ES" w:eastAsia="es-ES"/>
        </w:rPr>
        <w:t xml:space="preserve"> rubricado por Rajoy y Zapatero, pero al que se sumaron gustosos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Alberto Ruiz Gallardón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su principal respaldo, y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Alfredo Pérez Rubalcaba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el ministro que condecoró al agente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Jerónimo Escorial</w:t>
      </w:r>
      <w:r w:rsidRPr="0004330A">
        <w:rPr>
          <w:rFonts w:eastAsia="Times New Roman" w:cs="Times New Roman"/>
          <w:szCs w:val="20"/>
          <w:lang w:val="es-ES" w:eastAsia="es-ES"/>
        </w:rPr>
        <w:t>, el preferido del juez).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Y es que la historia del juez Carlos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es demencial: afirmó que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 xml:space="preserve"> la persona con la que cenaba habitualmente en Marbella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cuyos gastos cargaba al erario público,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tenía “carácter oficial”</w:t>
      </w:r>
      <w:r w:rsidRPr="0004330A">
        <w:rPr>
          <w:rFonts w:eastAsia="Times New Roman" w:cs="Times New Roman"/>
          <w:szCs w:val="20"/>
          <w:lang w:val="es-ES" w:eastAsia="es-ES"/>
        </w:rPr>
        <w:t xml:space="preserve">. Su respuesta se produjo tras los jocosos comentarios del periodista rosa y militante gay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Boris Izaguirre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que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insinuó la homosexualidad del juez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mencionó veladamente su relación con un guardaespaldas en un artículo publicado en el diario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“El País”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reproducido por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“El Plural”</w:t>
      </w:r>
      <w:r w:rsidRPr="0004330A">
        <w:rPr>
          <w:rFonts w:eastAsia="Times New Roman" w:cs="Times New Roman"/>
          <w:szCs w:val="20"/>
          <w:lang w:val="es-ES" w:eastAsia="es-ES"/>
        </w:rPr>
        <w:t>.</w:t>
      </w:r>
    </w:p>
    <w:p w:rsidR="0004330A" w:rsidRPr="0004330A" w:rsidRDefault="0004330A" w:rsidP="0004330A">
      <w:pPr>
        <w:rPr>
          <w:rFonts w:eastAsia="Times New Roman" w:cs="Times New Roman"/>
          <w:szCs w:val="20"/>
          <w:lang w:val="es-ES" w:eastAsia="es-ES"/>
        </w:rPr>
      </w:pPr>
      <w:r w:rsidRPr="0004330A">
        <w:rPr>
          <w:rFonts w:eastAsia="Times New Roman" w:cs="Times New Roman"/>
          <w:szCs w:val="20"/>
          <w:lang w:val="es-ES" w:eastAsia="es-ES"/>
        </w:rPr>
        <w:t xml:space="preserve">En el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Diario de la República Constitucional</w:t>
      </w:r>
      <w:r w:rsidRPr="0004330A">
        <w:rPr>
          <w:rFonts w:eastAsia="Times New Roman" w:cs="Times New Roman"/>
          <w:szCs w:val="20"/>
          <w:lang w:val="es-ES" w:eastAsia="es-ES"/>
        </w:rPr>
        <w:t xml:space="preserve"> y en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Radio Libertad Constituyente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el abogado y notario 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Antonio García Trevijano</w:t>
      </w:r>
      <w:r w:rsidRPr="0004330A">
        <w:rPr>
          <w:rFonts w:eastAsia="Times New Roman" w:cs="Times New Roman"/>
          <w:szCs w:val="20"/>
          <w:lang w:val="es-ES" w:eastAsia="es-ES"/>
        </w:rPr>
        <w:t xml:space="preserve"> reprochó a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 xml:space="preserve"> que tardara tanto en dimitir y subrayó que en su pliego de descargo ante la prensa, en ningún momento aprovechó para desmentir su hipotética salida del armario. “</w:t>
      </w:r>
      <w:r w:rsidRPr="0004330A">
        <w:rPr>
          <w:rFonts w:eastAsia="Times New Roman" w:cs="Times New Roman"/>
          <w:b/>
          <w:bCs/>
          <w:szCs w:val="20"/>
          <w:lang w:val="es-ES" w:eastAsia="es-ES"/>
        </w:rPr>
        <w:t>Tampoco ha desmentido que su compañía habitual en las cenas de Marbella era la de un varón</w:t>
      </w:r>
      <w:r w:rsidRPr="0004330A">
        <w:rPr>
          <w:rFonts w:eastAsia="Times New Roman" w:cs="Times New Roman"/>
          <w:szCs w:val="20"/>
          <w:lang w:val="es-ES" w:eastAsia="es-ES"/>
        </w:rPr>
        <w:t xml:space="preserve">, y solo ha precisado que su comensal tenía un rango oficial”. El escándalo del juez </w:t>
      </w:r>
      <w:proofErr w:type="spellStart"/>
      <w:r w:rsidRPr="0004330A">
        <w:rPr>
          <w:rFonts w:eastAsia="Times New Roman" w:cs="Times New Roman"/>
          <w:szCs w:val="20"/>
          <w:lang w:val="es-ES" w:eastAsia="es-ES"/>
        </w:rPr>
        <w:t>Dívar</w:t>
      </w:r>
      <w:proofErr w:type="spellEnd"/>
      <w:r w:rsidRPr="0004330A">
        <w:rPr>
          <w:rFonts w:eastAsia="Times New Roman" w:cs="Times New Roman"/>
          <w:szCs w:val="20"/>
          <w:lang w:val="es-ES" w:eastAsia="es-ES"/>
        </w:rPr>
        <w:t>, que enfangó la Justicia española hasta extremos nunca vistos, fue enjuiciado severamente por Antonio García Trevijano también como jurista, reprochándole haber dañado a la institución con su nepotismo policial y su corrupción.</w:t>
      </w:r>
    </w:p>
    <w:sectPr w:rsidR="0004330A" w:rsidRPr="0004330A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04330A"/>
    <w:rsid w:val="0004330A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ED3484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04330A"/>
    <w:rPr>
      <w:color w:val="0000FF"/>
      <w:u w:val="single"/>
    </w:rPr>
  </w:style>
  <w:style w:type="character" w:customStyle="1" w:styleId="created">
    <w:name w:val="created"/>
    <w:basedOn w:val="Fuentedeprrafopredeter"/>
    <w:rsid w:val="0004330A"/>
  </w:style>
  <w:style w:type="character" w:customStyle="1" w:styleId="icon">
    <w:name w:val="icon"/>
    <w:basedOn w:val="Fuentedeprrafopredeter"/>
    <w:rsid w:val="0004330A"/>
  </w:style>
  <w:style w:type="character" w:styleId="Textoennegrita">
    <w:name w:val="Strong"/>
    <w:basedOn w:val="Fuentedeprrafopredeter"/>
    <w:uiPriority w:val="22"/>
    <w:qFormat/>
    <w:rsid w:val="000433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33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3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30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4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68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45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8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9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7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3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1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9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spiadigital.org/index.php/noticias/politica/6124-rajoy-permite-que-el-juez-divar-siga-en-el-armario-pero-mete-dentro-15-escoltas-con-dinero-publ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1092</Words>
  <Characters>6009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2019-01-29T16:51:00Z</dcterms:created>
  <dcterms:modified xsi:type="dcterms:W3CDTF">2019-01-29T16:54:00Z</dcterms:modified>
</cp:coreProperties>
</file>