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86E" w:rsidRPr="0054686E" w:rsidRDefault="0054686E" w:rsidP="0054686E">
      <w:pPr>
        <w:outlineLvl w:val="0"/>
        <w:rPr>
          <w:rFonts w:eastAsia="Times New Roman" w:cs="Arial"/>
          <w:b/>
          <w:bCs/>
          <w:kern w:val="36"/>
          <w:szCs w:val="20"/>
          <w:lang w:eastAsia="es-ES"/>
        </w:rPr>
      </w:pPr>
      <w:r w:rsidRPr="0054686E">
        <w:rPr>
          <w:rFonts w:eastAsia="Times New Roman" w:cs="Arial"/>
          <w:b/>
          <w:bCs/>
          <w:kern w:val="36"/>
          <w:szCs w:val="20"/>
          <w:lang w:eastAsia="es-ES"/>
        </w:rPr>
        <w:t>TECNOCRACIA O DEMOCRACIA: EL PODER DE ELEGIR O ELEGIR EL PODER</w:t>
      </w:r>
    </w:p>
    <w:p w:rsidR="0054686E" w:rsidRPr="00C34B0A" w:rsidRDefault="0054686E" w:rsidP="0054686E">
      <w:pPr>
        <w:rPr>
          <w:rFonts w:eastAsia="Times New Roman" w:cs="Times New Roman"/>
          <w:szCs w:val="20"/>
          <w:lang w:eastAsia="es-ES"/>
        </w:rPr>
      </w:pPr>
      <w:r w:rsidRPr="00C34B0A">
        <w:rPr>
          <w:rFonts w:eastAsia="Times New Roman" w:cs="Times New Roman"/>
          <w:szCs w:val="20"/>
          <w:lang w:eastAsia="es-ES"/>
        </w:rPr>
        <w:t xml:space="preserve">DEMOCRESIA. </w:t>
      </w:r>
      <w:r w:rsidR="00C34B0A" w:rsidRPr="00C34B0A">
        <w:rPr>
          <w:rFonts w:eastAsia="Times New Roman" w:cs="Times New Roman"/>
          <w:szCs w:val="20"/>
          <w:lang w:eastAsia="es-ES"/>
        </w:rPr>
        <w:t xml:space="preserve">ABRIL </w:t>
      </w:r>
      <w:hyperlink r:id="rId4" w:history="1">
        <w:r w:rsidR="00C34B0A" w:rsidRPr="00C34B0A">
          <w:rPr>
            <w:rFonts w:eastAsia="Times New Roman" w:cs="Times New Roman"/>
            <w:color w:val="000000"/>
            <w:szCs w:val="20"/>
            <w:lang w:eastAsia="es-ES"/>
          </w:rPr>
          <w:t>2018</w:t>
        </w:r>
      </w:hyperlink>
      <w:r w:rsidRPr="00C34B0A">
        <w:rPr>
          <w:rFonts w:eastAsia="Times New Roman" w:cs="Times New Roman"/>
          <w:szCs w:val="20"/>
          <w:lang w:eastAsia="es-ES"/>
        </w:rPr>
        <w:t>  </w:t>
      </w:r>
    </w:p>
    <w:p w:rsidR="0054686E" w:rsidRPr="0054686E" w:rsidRDefault="0054686E" w:rsidP="0054686E">
      <w:pPr>
        <w:rPr>
          <w:rFonts w:eastAsia="Times New Roman" w:cs="Times New Roman"/>
          <w:szCs w:val="20"/>
          <w:lang w:eastAsia="es-ES"/>
        </w:rPr>
      </w:pPr>
      <w:hyperlink r:id="rId5" w:history="1">
        <w:r w:rsidR="00C34B0A" w:rsidRPr="00C34B0A">
          <w:rPr>
            <w:rFonts w:eastAsia="Times New Roman" w:cs="Times New Roman"/>
            <w:color w:val="000000"/>
            <w:szCs w:val="20"/>
            <w:lang w:eastAsia="es-ES"/>
          </w:rPr>
          <w:t>SERGIO FERNÁNDEZ RIQUELME</w:t>
        </w:r>
      </w:hyperlink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 w:val="16"/>
          <w:szCs w:val="16"/>
          <w:lang w:eastAsia="es-ES"/>
        </w:rPr>
      </w:pPr>
      <w:hyperlink r:id="rId6" w:history="1">
        <w:r w:rsidRPr="0054686E">
          <w:rPr>
            <w:rStyle w:val="Hipervnculo"/>
            <w:sz w:val="16"/>
            <w:szCs w:val="16"/>
          </w:rPr>
          <w:t>https://democresia.es/pensamiento/cultura-politi</w:t>
        </w:r>
        <w:r w:rsidRPr="0054686E">
          <w:rPr>
            <w:rStyle w:val="Hipervnculo"/>
            <w:sz w:val="16"/>
            <w:szCs w:val="16"/>
          </w:rPr>
          <w:t>c</w:t>
        </w:r>
        <w:r w:rsidRPr="0054686E">
          <w:rPr>
            <w:rStyle w:val="Hipervnculo"/>
            <w:sz w:val="16"/>
            <w:szCs w:val="16"/>
          </w:rPr>
          <w:t>a/tecnocracia-o-democracia-el-poder-de-elegir-o-elegir-el-poder/</w:t>
        </w:r>
      </w:hyperlink>
    </w:p>
    <w:p w:rsid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>En democracia gobierna el que más votos ciudadanos obtiene, directamente o a través de pactos postelectorales; eso está claro. Otra cuestión es quién puede participar en la contienda y cómo se obtienen los votos; eso dicen.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 xml:space="preserve">En la sociedad civil esa ecuación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demoelectoral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es más bien diferente, con excepciones en votaciones corporativas internas: ¿quién gobierna en una familia o en una empresa?, ¿quién elige al médico, al trabajador, al entrenador?, ¿cómo se selecciona al policía, al juez, al maestro? La respuesta a cada una de estas preguntas atiende a diferentes dimensiones de elección y selección, objetivas y a veces subjetivas. Otra cuestión es si los sistemas oficiales son los adecuados, si el dinero lo puede todo, o sobre si el clientelismo influye en las decisiones.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>El Estado de derecho ha logrado en las últimas décadas un equilibrio casi sistémico entre ambas esferas; pero cuando se cuestiona la igualdad de oportunidades, cuando la corrupción de los partidos se hace insoportable o cuando la crisis socioeconómica golpea con fuerza, siempre surge una palabra casi clandestina, una solución que casi nadie querría tomar: la </w:t>
      </w:r>
      <w:r w:rsidRPr="0054686E">
        <w:rPr>
          <w:rFonts w:eastAsia="Times New Roman" w:cs="Arial"/>
          <w:b/>
          <w:bCs/>
          <w:color w:val="000000"/>
          <w:szCs w:val="20"/>
          <w:lang w:eastAsia="es-ES"/>
        </w:rPr>
        <w:t>Tecnocracia</w:t>
      </w:r>
      <w:r w:rsidRPr="0054686E">
        <w:rPr>
          <w:rFonts w:eastAsia="Times New Roman" w:cs="Arial"/>
          <w:color w:val="000000"/>
          <w:szCs w:val="20"/>
          <w:lang w:eastAsia="es-ES"/>
        </w:rPr>
        <w:t>, el supuesto modelo para, parcial o totalmente, seleccionar a los mejores para gobernar mejor.</w:t>
      </w:r>
    </w:p>
    <w:p w:rsidR="0054686E" w:rsidRDefault="0054686E" w:rsidP="0054686E">
      <w:pPr>
        <w:shd w:val="clear" w:color="auto" w:fill="FFFFFF"/>
        <w:outlineLvl w:val="1"/>
        <w:rPr>
          <w:rFonts w:eastAsia="Times New Roman" w:cs="Arial"/>
          <w:b/>
          <w:bCs/>
          <w:color w:val="000000"/>
          <w:szCs w:val="20"/>
          <w:lang w:eastAsia="es-ES"/>
        </w:rPr>
      </w:pPr>
    </w:p>
    <w:p w:rsidR="0054686E" w:rsidRPr="0054686E" w:rsidRDefault="0054686E" w:rsidP="0054686E">
      <w:pPr>
        <w:shd w:val="clear" w:color="auto" w:fill="FFFFFF"/>
        <w:outlineLvl w:val="1"/>
        <w:rPr>
          <w:rFonts w:eastAsia="Times New Roman" w:cs="Arial"/>
          <w:b/>
          <w:bCs/>
          <w:color w:val="000000"/>
          <w:szCs w:val="20"/>
          <w:lang w:eastAsia="es-ES"/>
        </w:rPr>
      </w:pPr>
      <w:r w:rsidRPr="0054686E">
        <w:rPr>
          <w:rFonts w:eastAsia="Times New Roman" w:cs="Arial"/>
          <w:b/>
          <w:bCs/>
          <w:color w:val="000000"/>
          <w:szCs w:val="20"/>
          <w:lang w:eastAsia="es-ES"/>
        </w:rPr>
        <w:t>Quién y cómo manda, quién y por qué obedece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 xml:space="preserve">El presupuesto político señalado por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Julien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Freund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es recurrente en nuestro devenir. A la largo de la Historia, grosso modo, se han sucedido diferentes formas de organizar, dirigir y gestionar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lo político</w:t>
      </w:r>
      <w:r w:rsidRPr="0054686E">
        <w:rPr>
          <w:rFonts w:eastAsia="Times New Roman" w:cs="Arial"/>
          <w:color w:val="000000"/>
          <w:szCs w:val="20"/>
          <w:lang w:eastAsia="es-ES"/>
        </w:rPr>
        <w:t> que, para Weber, consistía en “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la  aspiración (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Streben</w:t>
      </w:r>
      <w:proofErr w:type="spellEnd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) a participar en el poder o a influir en la distribución del poder entre los distintos Estados, o dentro de un mismo Estado, entre los distintos grupos de hombres que lo componen</w:t>
      </w:r>
      <w:r w:rsidRPr="0054686E">
        <w:rPr>
          <w:rFonts w:eastAsia="Times New Roman" w:cs="Arial"/>
          <w:color w:val="000000"/>
          <w:szCs w:val="20"/>
          <w:lang w:eastAsia="es-ES"/>
        </w:rPr>
        <w:t>”.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>Una pléyade de formas de Estado y de Gobierno han sido usadas por hombres y mujeres para convivir entre sí o para invadir al vecino: </w:t>
      </w:r>
      <w:hyperlink r:id="rId7" w:tgtFrame="_blank" w:history="1">
        <w:r w:rsidRPr="0054686E">
          <w:rPr>
            <w:rFonts w:eastAsia="Times New Roman" w:cs="Arial"/>
            <w:color w:val="DB4A37"/>
            <w:szCs w:val="20"/>
            <w:u w:val="single"/>
            <w:lang w:eastAsia="es-ES"/>
          </w:rPr>
          <w:t>míticas</w:t>
        </w:r>
      </w:hyperlink>
      <w:r w:rsidRPr="0054686E">
        <w:rPr>
          <w:rFonts w:eastAsia="Times New Roman" w:cs="Arial"/>
          <w:color w:val="000000"/>
          <w:szCs w:val="20"/>
          <w:lang w:eastAsia="es-ES"/>
        </w:rPr>
        <w:t> autocracias de origen divino y comunidades tribales a campo abierto; admiradas democracias esclavistas desde la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Polis</w:t>
      </w:r>
      <w:r w:rsidRPr="0054686E">
        <w:rPr>
          <w:rFonts w:eastAsia="Times New Roman" w:cs="Arial"/>
          <w:color w:val="000000"/>
          <w:szCs w:val="20"/>
          <w:lang w:eastAsia="es-ES"/>
        </w:rPr>
        <w:t> o legendarias repúblicas esclavistas, senatoriales y patricias desde la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Urbe</w:t>
      </w:r>
      <w:r w:rsidRPr="0054686E">
        <w:rPr>
          <w:rFonts w:eastAsia="Times New Roman" w:cs="Arial"/>
          <w:color w:val="000000"/>
          <w:szCs w:val="20"/>
          <w:lang w:eastAsia="es-ES"/>
        </w:rPr>
        <w:t>; dictaduras de novelados Césares y Napoleones o “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dictablandas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>” militares desde pronunciamientos de cuartel; reyes absolutos, monarcas controlados bajo democracias censitarias o monarquías meramente simbólicas; </w:t>
      </w:r>
      <w:hyperlink r:id="rId8" w:tgtFrame="_blank" w:history="1">
        <w:r w:rsidRPr="0054686E">
          <w:rPr>
            <w:rFonts w:eastAsia="Times New Roman" w:cs="Arial"/>
            <w:color w:val="DB4A37"/>
            <w:szCs w:val="20"/>
            <w:u w:val="single"/>
            <w:lang w:eastAsia="es-ES"/>
          </w:rPr>
          <w:t>repúblicas comunistas en nombre del proletariado</w:t>
        </w:r>
      </w:hyperlink>
      <w:r w:rsidRPr="0054686E">
        <w:rPr>
          <w:rFonts w:eastAsia="Times New Roman" w:cs="Arial"/>
          <w:color w:val="000000"/>
          <w:szCs w:val="20"/>
          <w:lang w:eastAsia="es-ES"/>
        </w:rPr>
        <w:t xml:space="preserve"> y repúblicas democráticas parlamentarias o presidencialistas en representación del ciudadano; regímenes de partido único, pluripartidistas o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partitocráticos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>.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>Y entre ellas, siendo propia de era de la industrialización (en sus cuatro fases: del carbón, del petróleo, de las comunicaciones, y digital), se principió el </w:t>
      </w:r>
      <w:r w:rsidRPr="0054686E">
        <w:rPr>
          <w:rFonts w:eastAsia="Times New Roman" w:cs="Arial"/>
          <w:b/>
          <w:bCs/>
          <w:color w:val="000000"/>
          <w:szCs w:val="20"/>
          <w:lang w:eastAsia="es-ES"/>
        </w:rPr>
        <w:t>sistema tecnocrático</w:t>
      </w:r>
      <w:r w:rsidRPr="0054686E">
        <w:rPr>
          <w:rFonts w:eastAsia="Times New Roman" w:cs="Arial"/>
          <w:color w:val="000000"/>
          <w:szCs w:val="20"/>
          <w:lang w:eastAsia="es-ES"/>
        </w:rPr>
        <w:t> en numerosas ocasiones.  Generalmente planteado y experimentado, casi como un tabú, bien como siniestra amenaza al </w:t>
      </w:r>
      <w:r w:rsidRPr="0054686E">
        <w:rPr>
          <w:rFonts w:eastAsia="Times New Roman" w:cs="Arial"/>
          <w:b/>
          <w:bCs/>
          <w:color w:val="000000"/>
          <w:szCs w:val="20"/>
          <w:lang w:eastAsia="es-ES"/>
        </w:rPr>
        <w:t>sistema representativo democrático</w:t>
      </w:r>
      <w:r w:rsidRPr="0054686E">
        <w:rPr>
          <w:rFonts w:eastAsia="Times New Roman" w:cs="Arial"/>
          <w:color w:val="000000"/>
          <w:szCs w:val="20"/>
          <w:lang w:eastAsia="es-ES"/>
        </w:rPr>
        <w:t> (en formas desideologizadas o  regímenes autoritarios) bien como necesario complemento en la gestión pública (desde las formas de elección de los funcionarios públicos, de asesores expertos para autoridades centrales o locales, o gobiernos provisionales y técnicos de concentración).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>Tecnocracia fue entonces una palabra que desarrollaba políticamente el </w:t>
      </w:r>
      <w:r w:rsidRPr="0054686E">
        <w:rPr>
          <w:rFonts w:eastAsia="Times New Roman" w:cs="Arial"/>
          <w:b/>
          <w:bCs/>
          <w:color w:val="000000"/>
          <w:szCs w:val="20"/>
          <w:lang w:eastAsia="es-ES"/>
        </w:rPr>
        <w:t>ideal sociopolítico de la </w:t>
      </w:r>
      <w:proofErr w:type="spellStart"/>
      <w:r w:rsidRPr="0054686E">
        <w:rPr>
          <w:rFonts w:eastAsia="Times New Roman" w:cs="Arial"/>
          <w:b/>
          <w:bCs/>
          <w:i/>
          <w:iCs/>
          <w:color w:val="000000"/>
          <w:szCs w:val="20"/>
          <w:lang w:eastAsia="es-ES"/>
        </w:rPr>
        <w:t>meritocracia</w:t>
      </w:r>
      <w:proofErr w:type="spellEnd"/>
      <w:r w:rsidRPr="0054686E">
        <w:rPr>
          <w:rFonts w:eastAsia="Times New Roman" w:cs="Arial"/>
          <w:b/>
          <w:bCs/>
          <w:i/>
          <w:iCs/>
          <w:color w:val="000000"/>
          <w:szCs w:val="20"/>
          <w:lang w:eastAsia="es-ES"/>
        </w:rPr>
        <w:t> </w:t>
      </w:r>
      <w:r w:rsidRPr="0054686E">
        <w:rPr>
          <w:rFonts w:eastAsia="Times New Roman" w:cs="Arial"/>
          <w:color w:val="000000"/>
          <w:szCs w:val="20"/>
          <w:lang w:eastAsia="es-ES"/>
        </w:rPr>
        <w:t>(frente a las prácticas del nepotismo) a través de dos herramientas: la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burocracia </w:t>
      </w:r>
      <w:r w:rsidRPr="0054686E">
        <w:rPr>
          <w:rFonts w:eastAsia="Times New Roman" w:cs="Arial"/>
          <w:color w:val="000000"/>
          <w:szCs w:val="20"/>
          <w:lang w:eastAsia="es-ES"/>
        </w:rPr>
        <w:t>estatista (frente al cambio partidista) o la 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noocracia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> de los expertos (frente a la incapacidad de los elegidos). Era el soñado y temido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“gobierno de los técnicos</w:t>
      </w:r>
      <w:r w:rsidRPr="0054686E">
        <w:rPr>
          <w:rFonts w:eastAsia="Times New Roman" w:cs="Arial"/>
          <w:color w:val="000000"/>
          <w:szCs w:val="20"/>
          <w:lang w:eastAsia="es-ES"/>
        </w:rPr>
        <w:t xml:space="preserve">“, para unos la </w:t>
      </w:r>
      <w:r w:rsidRPr="0054686E">
        <w:rPr>
          <w:rFonts w:eastAsia="Times New Roman" w:cs="Arial"/>
          <w:color w:val="000000"/>
          <w:szCs w:val="20"/>
          <w:lang w:eastAsia="es-ES"/>
        </w:rPr>
        <w:lastRenderedPageBreak/>
        <w:t>eterna oportunidad frente a la corrupción sistémica de los partidos y ante los vaivenes de la lucha ideológica, para otros el paso previo a la dictadura frente a la libertad de elegir al representante y en contra de la diversidad de ofertas electorales.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>En la Antigüedad, </w:t>
      </w:r>
      <w:r w:rsidRPr="0054686E">
        <w:rPr>
          <w:rFonts w:eastAsia="Times New Roman" w:cs="Arial"/>
          <w:b/>
          <w:bCs/>
          <w:color w:val="000000"/>
          <w:szCs w:val="20"/>
          <w:lang w:eastAsia="es-ES"/>
        </w:rPr>
        <w:t>Aristóteles</w:t>
      </w:r>
      <w:r w:rsidRPr="0054686E">
        <w:rPr>
          <w:rFonts w:eastAsia="Times New Roman" w:cs="Arial"/>
          <w:color w:val="000000"/>
          <w:szCs w:val="20"/>
          <w:lang w:eastAsia="es-ES"/>
        </w:rPr>
        <w:t xml:space="preserve"> distinguía entre las formas políticas puras (por el número de los que mandaban: monarquía, aristocracia y democracia) e impuras (las derivaciones de las anteriores: tiranía, oligarquía, demagogia). En el Medioevo, a nivel fáctico se entremezclaban de forma plural la herencia romana y las formas germánicas de obtener el poder y sucederse en él, y a nivel legitimador se desplegaba la dialéctica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augustiana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entre la 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Civitas</w:t>
      </w:r>
      <w:proofErr w:type="spellEnd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 xml:space="preserve"> Dei</w:t>
      </w:r>
      <w:r w:rsidRPr="0054686E">
        <w:rPr>
          <w:rFonts w:eastAsia="Times New Roman" w:cs="Arial"/>
          <w:color w:val="000000"/>
          <w:szCs w:val="20"/>
          <w:lang w:eastAsia="es-ES"/>
        </w:rPr>
        <w:t> o la 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Civitas</w:t>
      </w:r>
      <w:proofErr w:type="spellEnd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 xml:space="preserve"> terrena</w:t>
      </w:r>
      <w:r w:rsidRPr="0054686E">
        <w:rPr>
          <w:rFonts w:eastAsia="Times New Roman" w:cs="Arial"/>
          <w:color w:val="000000"/>
          <w:szCs w:val="20"/>
          <w:lang w:eastAsia="es-ES"/>
        </w:rPr>
        <w:t xml:space="preserve">, entre la teocracia del escolástico Juan de Salisbury y el derecho natural del franciscano Guillermo de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Ockham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>.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>En el inicio de la edad Moderna, Maquiavelo solo diferenciaba entre el Principado (de su admirado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príncipe </w:t>
      </w:r>
      <w:r w:rsidRPr="0054686E">
        <w:rPr>
          <w:rFonts w:eastAsia="Times New Roman" w:cs="Arial"/>
          <w:color w:val="000000"/>
          <w:szCs w:val="20"/>
          <w:lang w:eastAsia="es-ES"/>
        </w:rPr>
        <w:t>Fernando II de Aragón) y la República (fundamentalmente en la divida península itálica), y al final de la misma 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fldChar w:fldCharType="begin"/>
      </w:r>
      <w:r w:rsidRPr="0054686E">
        <w:rPr>
          <w:rFonts w:eastAsia="Times New Roman" w:cs="Arial"/>
          <w:color w:val="000000"/>
          <w:szCs w:val="20"/>
          <w:lang w:eastAsia="es-ES"/>
        </w:rPr>
        <w:instrText xml:space="preserve"> HYPERLINK "https://democresia.es/politica-espanola/cataluna/independentismo-hedonismo-cataluna-luis-gonzalo-diez/" \t "_blank" </w:instrText>
      </w:r>
      <w:r w:rsidRPr="0054686E">
        <w:rPr>
          <w:rFonts w:eastAsia="Times New Roman" w:cs="Arial"/>
          <w:color w:val="000000"/>
          <w:szCs w:val="20"/>
          <w:lang w:eastAsia="es-ES"/>
        </w:rPr>
        <w:fldChar w:fldCharType="separate"/>
      </w:r>
      <w:r w:rsidRPr="0054686E">
        <w:rPr>
          <w:rFonts w:eastAsia="Times New Roman" w:cs="Arial"/>
          <w:color w:val="DB4A37"/>
          <w:szCs w:val="20"/>
          <w:u w:val="single"/>
          <w:lang w:eastAsia="es-ES"/>
        </w:rPr>
        <w:t>Montesquieu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fldChar w:fldCharType="end"/>
      </w:r>
      <w:r w:rsidRPr="0054686E">
        <w:rPr>
          <w:rFonts w:eastAsia="Times New Roman" w:cs="Arial"/>
          <w:color w:val="000000"/>
          <w:szCs w:val="20"/>
          <w:lang w:eastAsia="es-ES"/>
        </w:rPr>
        <w:t xml:space="preserve"> distinguía entre Monarquía, Despotismo y República (bien democrática bien aristocrática) ante el advenimiento del absolutismo regio (el rey Sol) y estatal (el Leviatán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hobbesiano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>). Al inicio de la era contemporánea, la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era de las Revoluciones políticas</w:t>
      </w:r>
      <w:r w:rsidRPr="0054686E">
        <w:rPr>
          <w:rFonts w:eastAsia="Times New Roman" w:cs="Arial"/>
          <w:color w:val="000000"/>
          <w:szCs w:val="20"/>
          <w:lang w:eastAsia="es-ES"/>
        </w:rPr>
        <w:t xml:space="preserve"> inspiradas por el pensamiento ilustrado, instauró en algunas naciones de Occidente el primer modelo democrático-liberal, generalmente restringido (por dinero, por sexo o por raza) ante reacciones y restauraciones: la independencia norteamericana (1783), la revolución francesa (1789) y el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demoliberalismo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(1830-1848).</w:t>
      </w:r>
    </w:p>
    <w:p w:rsidR="0054686E" w:rsidRDefault="0054686E" w:rsidP="0054686E">
      <w:pPr>
        <w:shd w:val="clear" w:color="auto" w:fill="FFFFFF"/>
        <w:outlineLvl w:val="1"/>
        <w:rPr>
          <w:rFonts w:eastAsia="Times New Roman" w:cs="Arial"/>
          <w:b/>
          <w:bCs/>
          <w:color w:val="000000"/>
          <w:szCs w:val="20"/>
          <w:lang w:eastAsia="es-ES"/>
        </w:rPr>
      </w:pPr>
    </w:p>
    <w:p w:rsidR="0054686E" w:rsidRPr="0054686E" w:rsidRDefault="0054686E" w:rsidP="0054686E">
      <w:pPr>
        <w:shd w:val="clear" w:color="auto" w:fill="FFFFFF"/>
        <w:outlineLvl w:val="1"/>
        <w:rPr>
          <w:rFonts w:eastAsia="Times New Roman" w:cs="Arial"/>
          <w:b/>
          <w:bCs/>
          <w:color w:val="000000"/>
          <w:szCs w:val="20"/>
          <w:lang w:eastAsia="es-ES"/>
        </w:rPr>
      </w:pPr>
      <w:r w:rsidRPr="0054686E">
        <w:rPr>
          <w:rFonts w:eastAsia="Times New Roman" w:cs="Arial"/>
          <w:b/>
          <w:bCs/>
          <w:color w:val="000000"/>
          <w:szCs w:val="20"/>
          <w:lang w:eastAsia="es-ES"/>
        </w:rPr>
        <w:t>Lo tradicional, lo carismático… y lo técnico-burocrático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>En todas estas etapas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, lo técnico</w:t>
      </w:r>
      <w:r w:rsidRPr="0054686E">
        <w:rPr>
          <w:rFonts w:eastAsia="Times New Roman" w:cs="Arial"/>
          <w:color w:val="000000"/>
          <w:szCs w:val="20"/>
          <w:lang w:eastAsia="es-ES"/>
        </w:rPr>
        <w:t> se manifestaba en las jerarquías organizativas diversas y marcadas por el uso de la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 vis</w:t>
      </w:r>
      <w:r w:rsidRPr="0054686E">
        <w:rPr>
          <w:rFonts w:eastAsia="Times New Roman" w:cs="Arial"/>
          <w:color w:val="000000"/>
          <w:szCs w:val="20"/>
          <w:lang w:eastAsia="es-ES"/>
        </w:rPr>
        <w:t>, la 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potestas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> o la 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auctoritas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> (de la lealtad y el pacto, al sometimiento y la dominación).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 xml:space="preserve">El advenimiento del Estado moderno, diseccionado por Jean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Bodin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, conllevará el nacimiento de la moderna burocracia, criticada por el afamado fisiócrata galo Jean-Claude Marie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Vicent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de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Gournay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y sistematizada por el gobierno napoleónico como “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bureumania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>”. Pero en pleno siglo XIX, se irá un paso más allá; frente a la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tradición</w:t>
      </w:r>
      <w:r w:rsidRPr="0054686E">
        <w:rPr>
          <w:rFonts w:eastAsia="Times New Roman" w:cs="Arial"/>
          <w:color w:val="000000"/>
          <w:szCs w:val="20"/>
          <w:lang w:eastAsia="es-ES"/>
        </w:rPr>
        <w:t> del viejo mando y el nuevo voto, y al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carisma</w:t>
      </w:r>
      <w:r w:rsidRPr="0054686E">
        <w:rPr>
          <w:rFonts w:eastAsia="Times New Roman" w:cs="Arial"/>
          <w:color w:val="000000"/>
          <w:szCs w:val="20"/>
          <w:lang w:eastAsia="es-ES"/>
        </w:rPr>
        <w:t> del que seguíamos y al que elegíamos, Weber se quedaba con la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 técnica</w:t>
      </w:r>
      <w:r w:rsidRPr="0054686E">
        <w:rPr>
          <w:rFonts w:eastAsia="Times New Roman" w:cs="Arial"/>
          <w:color w:val="000000"/>
          <w:szCs w:val="20"/>
          <w:lang w:eastAsia="es-ES"/>
        </w:rPr>
        <w:t> y la burocracia (sus tres fuentes de legitimación del poder), al ser “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más eficiente y racional de la forma de organización de la actividad humana y, por tanto, como la clave para la racional-legal de la autoridad, indispensable para el mundo moderno</w:t>
      </w:r>
      <w:r w:rsidRPr="0054686E">
        <w:rPr>
          <w:rFonts w:eastAsia="Times New Roman" w:cs="Arial"/>
          <w:color w:val="000000"/>
          <w:szCs w:val="20"/>
          <w:lang w:eastAsia="es-ES"/>
        </w:rPr>
        <w:t>“, pese a su amenaza a la libertades individuales.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>Pero junto a la creciente burocracia técnica y estatista, ante el impacto del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industrialismo</w:t>
      </w:r>
      <w:r w:rsidRPr="0054686E">
        <w:rPr>
          <w:rFonts w:eastAsia="Times New Roman" w:cs="Arial"/>
          <w:color w:val="000000"/>
          <w:szCs w:val="20"/>
          <w:lang w:eastAsia="es-ES"/>
        </w:rPr>
        <w:t> (con la irrupción de las masas y los modos técnicos de producir), surgirán nuevas formas organización política social tecnocrática como alternativa radical o como ingrediente gestor.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>Así la defendieron para una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sociedad sin Estado </w:t>
      </w:r>
      <w:r w:rsidRPr="0054686E">
        <w:rPr>
          <w:rFonts w:eastAsia="Times New Roman" w:cs="Arial"/>
          <w:color w:val="000000"/>
          <w:szCs w:val="20"/>
          <w:lang w:eastAsia="es-ES"/>
        </w:rPr>
        <w:t>(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comunitarista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) el sociólogo francés Claude-Henri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Rouvroy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>, el famoso conde de Saint-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Simon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>, en su obra 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Réorganisation</w:t>
      </w:r>
      <w:proofErr w:type="spellEnd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 xml:space="preserve"> de la 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société</w:t>
      </w:r>
      <w:proofErr w:type="spellEnd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 xml:space="preserve"> 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européenne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> (1814),  para un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sociedad científica</w:t>
      </w:r>
      <w:r w:rsidRPr="0054686E">
        <w:rPr>
          <w:rFonts w:eastAsia="Times New Roman" w:cs="Arial"/>
          <w:color w:val="000000"/>
          <w:szCs w:val="20"/>
          <w:lang w:eastAsia="es-ES"/>
        </w:rPr>
        <w:t xml:space="preserve"> el filósofo positivista Auguste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Comte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en 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Système</w:t>
      </w:r>
      <w:proofErr w:type="spellEnd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 xml:space="preserve"> de 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politique</w:t>
      </w:r>
      <w:proofErr w:type="spellEnd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 xml:space="preserve"> positive, 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ou</w:t>
      </w:r>
      <w:proofErr w:type="spellEnd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 xml:space="preserve"> 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Traité</w:t>
      </w:r>
      <w:proofErr w:type="spellEnd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 xml:space="preserve"> de 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sociologie</w:t>
      </w:r>
      <w:proofErr w:type="spellEnd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 xml:space="preserve">, 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instituant</w:t>
      </w:r>
      <w:proofErr w:type="spellEnd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 xml:space="preserve"> la religión de 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l’humanité</w:t>
      </w:r>
      <w:proofErr w:type="spellEnd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 </w:t>
      </w:r>
      <w:r w:rsidRPr="0054686E">
        <w:rPr>
          <w:rFonts w:eastAsia="Times New Roman" w:cs="Arial"/>
          <w:color w:val="000000"/>
          <w:szCs w:val="20"/>
          <w:lang w:eastAsia="es-ES"/>
        </w:rPr>
        <w:t xml:space="preserve">(1851-1854), o como necesidad democrática para el mismo presidente de los EEUU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Woodrow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Wilson en 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The</w:t>
      </w:r>
      <w:proofErr w:type="spellEnd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 xml:space="preserve"> 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Study</w:t>
      </w:r>
      <w:proofErr w:type="spellEnd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 xml:space="preserve"> of 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Administration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> (1887).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>Posteriormente, en el siglo XX el ideal tecnocrático aparecerá primeras formulaciones corporativistas (del organicismo krausista al socialismo gremial), y en los años treinta (“la época de entreguerras”) se difundirá como fórmula de gobierno para regímenes autoritarios/totalitarios antiliberales y antidemocráticos. Las teorías sobre la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Tectología (Organización universal de la ciencia), </w:t>
      </w:r>
      <w:r w:rsidRPr="0054686E">
        <w:rPr>
          <w:rFonts w:eastAsia="Times New Roman" w:cs="Arial"/>
          <w:color w:val="000000"/>
          <w:szCs w:val="20"/>
          <w:lang w:eastAsia="es-ES"/>
        </w:rPr>
        <w:t xml:space="preserve">del bolchevique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Aleksandr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Bogdanov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, será influencia tanto en los economistas de la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pseudocapitalista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solución de emergencia de la NEP como en los burócratas del posterior desarrollismo soviético estalinista. Mientras, el jurista español Luis Eduardo Llorens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(¿Qué es la Tecnocracia?,</w:t>
      </w:r>
      <w:r w:rsidRPr="0054686E">
        <w:rPr>
          <w:rFonts w:eastAsia="Times New Roman" w:cs="Arial"/>
          <w:color w:val="000000"/>
          <w:szCs w:val="20"/>
          <w:lang w:eastAsia="es-ES"/>
        </w:rPr>
        <w:t xml:space="preserve"> 1933) descubrirá que la tendencia hacia la </w:t>
      </w:r>
      <w:r w:rsidRPr="0054686E">
        <w:rPr>
          <w:rFonts w:eastAsia="Times New Roman" w:cs="Arial"/>
          <w:color w:val="000000"/>
          <w:szCs w:val="20"/>
          <w:lang w:eastAsia="es-ES"/>
        </w:rPr>
        <w:lastRenderedPageBreak/>
        <w:t>“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tecnificación de la política</w:t>
      </w:r>
      <w:r w:rsidRPr="0054686E">
        <w:rPr>
          <w:rFonts w:eastAsia="Times New Roman" w:cs="Arial"/>
          <w:color w:val="000000"/>
          <w:szCs w:val="20"/>
          <w:lang w:eastAsia="es-ES"/>
        </w:rPr>
        <w:t>” se daba tanto en gobiernos democráticos como autoritarios: de un lado la introducción de economistas desideologizados en gabinetes, que trasladaban el paradigma funcionalista derivado de  la moderna división y maquinización del trabajo a la misma actividad  política, como se  asumía en cierta legislación norteamericana (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 xml:space="preserve">Nacional Industrial 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Recovery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, 1932) y en la noción tecnocrática popularizada por Howard Scott, William H.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Smyth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y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Thorstein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Veblen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(o por sus seguidores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Lobe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,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Laing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,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Bellamy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,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Porter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o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Lardiner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>), con la sacralización de la “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Administración  técnica</w:t>
      </w:r>
      <w:r w:rsidRPr="0054686E">
        <w:rPr>
          <w:rFonts w:eastAsia="Times New Roman" w:cs="Arial"/>
          <w:color w:val="000000"/>
          <w:szCs w:val="20"/>
          <w:lang w:eastAsia="es-ES"/>
        </w:rPr>
        <w:t>” ante la idea de que “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las ciencias físicas han superado a las sociales</w:t>
      </w:r>
      <w:r w:rsidRPr="0054686E">
        <w:rPr>
          <w:rFonts w:eastAsia="Times New Roman" w:cs="Arial"/>
          <w:color w:val="000000"/>
          <w:szCs w:val="20"/>
          <w:lang w:eastAsia="es-ES"/>
        </w:rPr>
        <w:t>“; y de otro lado la inserción de cuerpos de burócratas directamente en parlamentos sin partidos políticos (con representaciones corporativas), como se intentó con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la Asamblea nacional consultiva</w:t>
      </w:r>
      <w:r w:rsidRPr="0054686E">
        <w:rPr>
          <w:rFonts w:eastAsia="Times New Roman" w:cs="Arial"/>
          <w:color w:val="000000"/>
          <w:szCs w:val="20"/>
          <w:lang w:eastAsia="es-ES"/>
        </w:rPr>
        <w:t xml:space="preserve"> española bajo Miguel Primo de Rivera, o se consiguió brevemente en la Austria del canciller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Dolfuss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o en la Italia fascista del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Duce.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>Tras la Segunda guerra mundial dos formas irreconciliables en lo ideológico, separadas por el famoso “telón de acero, y enfrentadas militarmente en los escenarios secundarios (en su particular “Guerra fría”) monopolizaban el símbolo y la realidad de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lo político</w:t>
      </w:r>
      <w:r w:rsidRPr="0054686E">
        <w:rPr>
          <w:rFonts w:eastAsia="Times New Roman" w:cs="Arial"/>
          <w:color w:val="000000"/>
          <w:szCs w:val="20"/>
          <w:lang w:eastAsia="es-ES"/>
        </w:rPr>
        <w:t>: las democracias liberales de raigambre estadounidense y las democracias populares bajo control soviético. Pero dentro de ambos bloques, amén de los “países no alineados” (de la Yugoslavia de Tito a la Indonesia de Suharto), existieron diferentes modelos adaptados a la idiosincrasia cultural/social de cada nación, muchos de los cuales impusieron sistemas tecnocráticos desde arriba, como las elites económicas integradas en las dictaduras de derecha latinoamericanas (por ejemplo, los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 xml:space="preserve">Chicago 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boys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> en el régimen de Pinochet) o los inmensos aparatos burocráticos de las repúblicas socialistas/comunistas patrocinadas o subvencionadas por la URSS (como el paradigmático sistema búlgaro).</w:t>
      </w:r>
    </w:p>
    <w:p w:rsidR="0054686E" w:rsidRDefault="0054686E" w:rsidP="0054686E">
      <w:pPr>
        <w:shd w:val="clear" w:color="auto" w:fill="FFFFFF"/>
        <w:outlineLvl w:val="1"/>
        <w:rPr>
          <w:rFonts w:eastAsia="Times New Roman" w:cs="Arial"/>
          <w:b/>
          <w:bCs/>
          <w:color w:val="000000"/>
          <w:szCs w:val="20"/>
          <w:lang w:eastAsia="es-ES"/>
        </w:rPr>
      </w:pPr>
    </w:p>
    <w:p w:rsidR="0054686E" w:rsidRPr="0054686E" w:rsidRDefault="0054686E" w:rsidP="0054686E">
      <w:pPr>
        <w:shd w:val="clear" w:color="auto" w:fill="FFFFFF"/>
        <w:outlineLvl w:val="1"/>
        <w:rPr>
          <w:rFonts w:eastAsia="Times New Roman" w:cs="Arial"/>
          <w:b/>
          <w:bCs/>
          <w:color w:val="000000"/>
          <w:szCs w:val="20"/>
          <w:lang w:eastAsia="es-ES"/>
        </w:rPr>
      </w:pPr>
      <w:r w:rsidRPr="0054686E">
        <w:rPr>
          <w:rFonts w:eastAsia="Times New Roman" w:cs="Arial"/>
          <w:b/>
          <w:bCs/>
          <w:color w:val="000000"/>
          <w:szCs w:val="20"/>
          <w:lang w:eastAsia="es-ES"/>
        </w:rPr>
        <w:t>El debate entre técnica y democracia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 xml:space="preserve">El fin de la Historia proclamado por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Fukuyama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>, tras el derrumbe del Muro de Berlín, suponía la victoria del paradigma de la democracia liberal, y bipartidista, norteamericana a finales del siglo XX, a partir de cual se conformó en Europa el sistema de alternancia electoral entre la opción socialdemócrata (liberal progresista) y democristiana (liberal conservadora). Tras años de 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pax</w:t>
      </w:r>
      <w:proofErr w:type="spellEnd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,</w:t>
      </w:r>
      <w:r w:rsidRPr="0054686E">
        <w:rPr>
          <w:rFonts w:eastAsia="Times New Roman" w:cs="Arial"/>
          <w:color w:val="000000"/>
          <w:szCs w:val="20"/>
          <w:lang w:eastAsia="es-ES"/>
        </w:rPr>
        <w:t> la crisis económica de 2008-2013 no solo amplió las opciones de elección partidista el Occidente ante la supuesta crisis del modelo bipartidista dominante (pese a la inmortalidad de la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gran coalición</w:t>
      </w:r>
      <w:r w:rsidRPr="0054686E">
        <w:rPr>
          <w:rFonts w:eastAsia="Times New Roman" w:cs="Arial"/>
          <w:color w:val="000000"/>
          <w:szCs w:val="20"/>
          <w:lang w:eastAsia="es-ES"/>
        </w:rPr>
        <w:t xml:space="preserve"> alemana) o supuso la aparición de las llamadas fuerzas populistas (de la izquierda alternativa al nacionalismo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identitario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>); también conllevó el aumento de la selección de “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técnicos</w:t>
      </w:r>
      <w:r w:rsidRPr="0054686E">
        <w:rPr>
          <w:rFonts w:eastAsia="Times New Roman" w:cs="Arial"/>
          <w:color w:val="000000"/>
          <w:szCs w:val="20"/>
          <w:lang w:eastAsia="es-ES"/>
        </w:rPr>
        <w:t xml:space="preserve">” para carteras ministeriales ante exigencias neoliberales, la sucesión de soluciones tecnocráticas directas y provisionales ante la crisis de gobernabilidad de esos años (el gobierno de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Papademos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en Grecia, de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Bajnai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en Hungría, de Fischer en la República Checa, de Monti o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Gentiloni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en Italia, de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Jomaa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en Túnez, de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Yatseniuk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en Ucrania), o el poder casi omnímodo de la burocracia de Bruselas (elegida por pocos o por nadie) que dictaba su voluntad en casi todo el 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Viejo continente</w:t>
      </w:r>
      <w:r w:rsidRPr="0054686E">
        <w:rPr>
          <w:rFonts w:eastAsia="Times New Roman" w:cs="Arial"/>
          <w:color w:val="000000"/>
          <w:szCs w:val="20"/>
          <w:lang w:eastAsia="es-ES"/>
        </w:rPr>
        <w:t>.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>Y, en el mundo oriental, sus particulares tecnocracias comenzaron a llenar cuadros y estrategias como legitimación de democracias soberanas/limitadas (de Rusia y Kazajistán a Singapur y Turquía), de sistemas tradicionalistas (africanos y árabe/musulmanes) y de regímenes comunistas-capitalistas (de China a Vietnam), para intentar garantizar el desarrollo económico y la estabilidad social desde la unidad y la centralización, de manera alternativa a la pluralidad/diversidad proclamada por el sistema democrático-liberal.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>La democracia era, para Churchill, “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el menos malo de los sistemas políticos</w:t>
      </w:r>
      <w:r w:rsidRPr="0054686E">
        <w:rPr>
          <w:rFonts w:eastAsia="Times New Roman" w:cs="Arial"/>
          <w:color w:val="000000"/>
          <w:szCs w:val="20"/>
          <w:lang w:eastAsia="es-ES"/>
        </w:rPr>
        <w:t>“. Podría parecer obvio; bajo él hemos alcanzado niveles de libertad, derechos sociales y periodos de paz casi nunca vistos, pero también han persistido desigualdades lacerantes, han crecido amenazas medioambientales sin parangón o han comenzado crisis demográficas sin vuelta atrás.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>La sombra tecnocrática parece que siempre está y estará allí, esperando el fallo oportuno, necesidades productivas o supuestas tendencias disgregadoras objeto de debate: la 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videocracia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 para Giovanni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Sartori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, o esa democracia </w:t>
      </w:r>
      <w:proofErr w:type="spellStart"/>
      <w:r w:rsidRPr="0054686E">
        <w:rPr>
          <w:rFonts w:eastAsia="Times New Roman" w:cs="Arial"/>
          <w:color w:val="000000"/>
          <w:szCs w:val="20"/>
          <w:lang w:eastAsia="es-ES"/>
        </w:rPr>
        <w:t>teledigida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 xml:space="preserve"> en exclusiva por quién </w:t>
      </w:r>
      <w:r w:rsidRPr="0054686E">
        <w:rPr>
          <w:rFonts w:eastAsia="Times New Roman" w:cs="Arial"/>
          <w:color w:val="000000"/>
          <w:szCs w:val="20"/>
          <w:lang w:eastAsia="es-ES"/>
        </w:rPr>
        <w:lastRenderedPageBreak/>
        <w:t>controla los medios; la </w:t>
      </w:r>
      <w:proofErr w:type="spellStart"/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partitocracia</w:t>
      </w:r>
      <w:proofErr w:type="spellEnd"/>
      <w:r w:rsidRPr="0054686E">
        <w:rPr>
          <w:rFonts w:eastAsia="Times New Roman" w:cs="Arial"/>
          <w:color w:val="000000"/>
          <w:szCs w:val="20"/>
          <w:lang w:eastAsia="es-ES"/>
        </w:rPr>
        <w:t> de la que hablaba Antonio García-Trevijano Forte, o esa democracia monopolizada por partidos siempre cerrados. Gustavo Bueno señaló que el peor, y verdadero, enemigo de la democracia actual era ese “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fundamentalismo democrático</w:t>
      </w:r>
      <w:r w:rsidRPr="0054686E">
        <w:rPr>
          <w:rFonts w:eastAsia="Times New Roman" w:cs="Arial"/>
          <w:color w:val="000000"/>
          <w:szCs w:val="20"/>
          <w:lang w:eastAsia="es-ES"/>
        </w:rPr>
        <w:t>” que en ocasiones la paraliza, incapaz de comprender los fallos, de emprender cambios, de aceptar disensiones o de plantear nuevos horizontes.</w:t>
      </w:r>
    </w:p>
    <w:p w:rsidR="0054686E" w:rsidRPr="0054686E" w:rsidRDefault="0054686E" w:rsidP="0054686E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54686E">
        <w:rPr>
          <w:rFonts w:eastAsia="Times New Roman" w:cs="Arial"/>
          <w:color w:val="000000"/>
          <w:szCs w:val="20"/>
          <w:lang w:eastAsia="es-ES"/>
        </w:rPr>
        <w:t>Como subrayaba el viejo premier británico posiblemente “</w:t>
      </w:r>
      <w:r w:rsidRPr="0054686E">
        <w:rPr>
          <w:rFonts w:eastAsia="Times New Roman" w:cs="Arial"/>
          <w:i/>
          <w:iCs/>
          <w:color w:val="000000"/>
          <w:szCs w:val="20"/>
          <w:lang w:eastAsia="es-ES"/>
        </w:rPr>
        <w:t>la democracia es la necesidad de doblegarse, de vez en cuando, a las opiniones de los demás</w:t>
      </w:r>
      <w:r w:rsidRPr="0054686E">
        <w:rPr>
          <w:rFonts w:eastAsia="Times New Roman" w:cs="Arial"/>
          <w:color w:val="000000"/>
          <w:szCs w:val="20"/>
          <w:lang w:eastAsia="es-ES"/>
        </w:rPr>
        <w:t>“.</w:t>
      </w:r>
    </w:p>
    <w:p w:rsidR="004D67CE" w:rsidRPr="0054686E" w:rsidRDefault="004D67CE" w:rsidP="0054686E">
      <w:pPr>
        <w:rPr>
          <w:szCs w:val="20"/>
        </w:rPr>
      </w:pPr>
    </w:p>
    <w:sectPr w:rsidR="004D67CE" w:rsidRPr="0054686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54686E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54686E"/>
    <w:rsid w:val="0060682F"/>
    <w:rsid w:val="00733C78"/>
    <w:rsid w:val="007B1BCC"/>
    <w:rsid w:val="007E13D5"/>
    <w:rsid w:val="00800871"/>
    <w:rsid w:val="00850573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34B0A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paragraph" w:styleId="Ttulo1">
    <w:name w:val="heading 1"/>
    <w:basedOn w:val="Normal"/>
    <w:link w:val="Ttulo1Car"/>
    <w:uiPriority w:val="9"/>
    <w:qFormat/>
    <w:rsid w:val="005468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5468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686E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4686E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meta-category">
    <w:name w:val="meta-category"/>
    <w:basedOn w:val="Fuentedeprrafopredeter"/>
    <w:rsid w:val="0054686E"/>
  </w:style>
  <w:style w:type="character" w:styleId="Hipervnculo">
    <w:name w:val="Hyperlink"/>
    <w:basedOn w:val="Fuentedeprrafopredeter"/>
    <w:uiPriority w:val="99"/>
    <w:semiHidden/>
    <w:unhideWhenUsed/>
    <w:rsid w:val="0054686E"/>
    <w:rPr>
      <w:color w:val="0000FF"/>
      <w:u w:val="single"/>
    </w:rPr>
  </w:style>
  <w:style w:type="character" w:customStyle="1" w:styleId="meta-author">
    <w:name w:val="meta-author"/>
    <w:basedOn w:val="Fuentedeprrafopredeter"/>
    <w:rsid w:val="0054686E"/>
  </w:style>
  <w:style w:type="character" w:customStyle="1" w:styleId="rt-reading-time">
    <w:name w:val="rt-reading-time"/>
    <w:basedOn w:val="Fuentedeprrafopredeter"/>
    <w:rsid w:val="0054686E"/>
  </w:style>
  <w:style w:type="character" w:customStyle="1" w:styleId="rt-label">
    <w:name w:val="rt-label"/>
    <w:basedOn w:val="Fuentedeprrafopredeter"/>
    <w:rsid w:val="0054686E"/>
  </w:style>
  <w:style w:type="character" w:customStyle="1" w:styleId="rt-time">
    <w:name w:val="rt-time"/>
    <w:basedOn w:val="Fuentedeprrafopredeter"/>
    <w:rsid w:val="0054686E"/>
  </w:style>
  <w:style w:type="paragraph" w:styleId="NormalWeb">
    <w:name w:val="Normal (Web)"/>
    <w:basedOn w:val="Normal"/>
    <w:uiPriority w:val="99"/>
    <w:semiHidden/>
    <w:unhideWhenUsed/>
    <w:rsid w:val="00546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4686E"/>
    <w:rPr>
      <w:b/>
      <w:bCs/>
    </w:rPr>
  </w:style>
  <w:style w:type="character" w:styleId="nfasis">
    <w:name w:val="Emphasis"/>
    <w:basedOn w:val="Fuentedeprrafopredeter"/>
    <w:uiPriority w:val="20"/>
    <w:qFormat/>
    <w:rsid w:val="0054686E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686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686E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4686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7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cresia.es/mundo/la-revolucion-octubre-suceso-marco-sigl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mocresia.es/pensamiento/mito-y-revolucion-o-cuando-la-ficcion-supera-a-la-realida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mocresia.es/pensamiento/cultura-politica/tecnocracia-o-democracia-el-poder-de-elegir-o-elegir-el-poder/" TargetMode="External"/><Relationship Id="rId5" Type="http://schemas.openxmlformats.org/officeDocument/2006/relationships/hyperlink" Target="https://democresia.es/author/serferi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emocresia.es/pensamiento/cultura-politic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2060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2019-09-11T21:04:00Z</dcterms:created>
  <dcterms:modified xsi:type="dcterms:W3CDTF">2019-09-11T21:17:00Z</dcterms:modified>
</cp:coreProperties>
</file>