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1FD" w:rsidRDefault="003C21FD" w:rsidP="003C21FD">
      <w:pPr>
        <w:shd w:val="clear" w:color="auto" w:fill="FCFCFC"/>
        <w:outlineLvl w:val="0"/>
        <w:rPr>
          <w:rFonts w:eastAsia="Times New Roman" w:cs="Times New Roman"/>
          <w:color w:val="222222"/>
          <w:spacing w:val="2"/>
          <w:kern w:val="36"/>
          <w:szCs w:val="20"/>
          <w:lang w:eastAsia="es-ES"/>
        </w:rPr>
      </w:pPr>
      <w:r>
        <w:rPr>
          <w:rFonts w:eastAsia="Times New Roman" w:cs="Times New Roman"/>
          <w:color w:val="222222"/>
          <w:spacing w:val="2"/>
          <w:kern w:val="36"/>
          <w:szCs w:val="20"/>
          <w:lang w:eastAsia="es-ES"/>
        </w:rPr>
        <w:t>UNA CONSTITUCIÓN VIVA</w:t>
      </w:r>
      <w:r w:rsidRPr="003C21FD">
        <w:rPr>
          <w:rFonts w:eastAsia="Times New Roman" w:cs="Times New Roman"/>
          <w:color w:val="222222"/>
          <w:spacing w:val="2"/>
          <w:kern w:val="36"/>
          <w:szCs w:val="20"/>
          <w:lang w:eastAsia="es-ES"/>
        </w:rPr>
        <w:t>, UNA CONSTITUCIÓN COMO PROCESO</w:t>
      </w:r>
    </w:p>
    <w:p w:rsidR="003C21FD" w:rsidRDefault="003C21FD" w:rsidP="003C21FD">
      <w:pPr>
        <w:shd w:val="clear" w:color="auto" w:fill="FCFCFC"/>
        <w:outlineLvl w:val="0"/>
        <w:rPr>
          <w:rFonts w:eastAsia="Times New Roman" w:cs="Times New Roman"/>
          <w:color w:val="222222"/>
          <w:spacing w:val="2"/>
          <w:kern w:val="36"/>
          <w:szCs w:val="20"/>
          <w:lang w:eastAsia="es-ES"/>
        </w:rPr>
      </w:pPr>
      <w:r>
        <w:rPr>
          <w:rFonts w:eastAsia="Times New Roman" w:cs="Times New Roman"/>
          <w:color w:val="222222"/>
          <w:spacing w:val="2"/>
          <w:kern w:val="36"/>
          <w:szCs w:val="20"/>
          <w:lang w:eastAsia="es-ES"/>
        </w:rPr>
        <w:t xml:space="preserve">EL </w:t>
      </w:r>
      <w:proofErr w:type="gramStart"/>
      <w:r>
        <w:rPr>
          <w:rFonts w:eastAsia="Times New Roman" w:cs="Times New Roman"/>
          <w:color w:val="222222"/>
          <w:spacing w:val="2"/>
          <w:kern w:val="36"/>
          <w:szCs w:val="20"/>
          <w:lang w:eastAsia="es-ES"/>
        </w:rPr>
        <w:t>CRITICO</w:t>
      </w:r>
      <w:proofErr w:type="gramEnd"/>
      <w:r>
        <w:rPr>
          <w:rFonts w:eastAsia="Times New Roman" w:cs="Times New Roman"/>
          <w:color w:val="222222"/>
          <w:spacing w:val="2"/>
          <w:kern w:val="36"/>
          <w:szCs w:val="20"/>
          <w:lang w:eastAsia="es-ES"/>
        </w:rPr>
        <w:t xml:space="preserve">. 28 MAYO 2018. </w:t>
      </w:r>
    </w:p>
    <w:p w:rsidR="003C21FD" w:rsidRDefault="003C21FD" w:rsidP="003C21FD">
      <w:pPr>
        <w:shd w:val="clear" w:color="auto" w:fill="FCFCFC"/>
        <w:outlineLvl w:val="0"/>
        <w:rPr>
          <w:rFonts w:eastAsia="Times New Roman" w:cs="Times New Roman"/>
          <w:color w:val="222222"/>
          <w:spacing w:val="2"/>
          <w:kern w:val="36"/>
          <w:szCs w:val="20"/>
          <w:lang w:eastAsia="es-ES"/>
        </w:rPr>
      </w:pPr>
      <w:r>
        <w:rPr>
          <w:rFonts w:eastAsia="Times New Roman" w:cs="Times New Roman"/>
          <w:color w:val="222222"/>
          <w:spacing w:val="2"/>
          <w:kern w:val="36"/>
          <w:szCs w:val="20"/>
          <w:lang w:eastAsia="es-ES"/>
        </w:rPr>
        <w:t>ANTONIO TUDELA</w:t>
      </w:r>
    </w:p>
    <w:p w:rsidR="003C21FD" w:rsidRPr="003C21FD" w:rsidRDefault="003C21FD" w:rsidP="003C21FD">
      <w:pPr>
        <w:shd w:val="clear" w:color="auto" w:fill="FCFCFC"/>
        <w:jc w:val="both"/>
        <w:rPr>
          <w:rFonts w:eastAsia="Times New Roman" w:cs="Times New Roman"/>
          <w:color w:val="000000"/>
          <w:spacing w:val="3"/>
          <w:sz w:val="18"/>
          <w:szCs w:val="18"/>
          <w:lang w:eastAsia="es-ES"/>
        </w:rPr>
      </w:pPr>
      <w:hyperlink r:id="rId4" w:history="1">
        <w:r w:rsidRPr="003C21FD">
          <w:rPr>
            <w:rStyle w:val="Hipervnculo"/>
            <w:sz w:val="18"/>
            <w:szCs w:val="18"/>
          </w:rPr>
          <w:t>https://www.elcritico.org/zona-kratica/2018/5/19/una-constitucin-como-proceso?rq=TREVIJANO</w:t>
        </w:r>
      </w:hyperlink>
    </w:p>
    <w:p w:rsidR="003C21FD" w:rsidRDefault="003C21FD" w:rsidP="003C21FD">
      <w:pPr>
        <w:shd w:val="clear" w:color="auto" w:fill="FCFCFC"/>
        <w:jc w:val="both"/>
        <w:rPr>
          <w:rFonts w:eastAsia="Times New Roman" w:cs="Times New Roman"/>
          <w:color w:val="000000"/>
          <w:spacing w:val="3"/>
          <w:szCs w:val="20"/>
          <w:lang w:eastAsia="es-ES"/>
        </w:rPr>
      </w:pPr>
    </w:p>
    <w:p w:rsidR="003C21FD" w:rsidRPr="003C21FD" w:rsidRDefault="003C21FD" w:rsidP="003C21FD">
      <w:pPr>
        <w:shd w:val="clear" w:color="auto" w:fill="FCFCFC"/>
        <w:jc w:val="both"/>
        <w:rPr>
          <w:rFonts w:eastAsia="Times New Roman" w:cs="Times New Roman"/>
          <w:color w:val="000000"/>
          <w:spacing w:val="3"/>
          <w:szCs w:val="20"/>
          <w:lang w:eastAsia="es-ES"/>
        </w:rPr>
      </w:pPr>
      <w:r w:rsidRPr="003C21FD">
        <w:rPr>
          <w:rFonts w:eastAsia="Times New Roman" w:cs="Times New Roman"/>
          <w:color w:val="000000"/>
          <w:spacing w:val="3"/>
          <w:szCs w:val="20"/>
          <w:lang w:eastAsia="es-ES"/>
        </w:rPr>
        <w:t>El objetivo de esta serie de artículos es, en primer lugar, reconocer como sistema preeminente la teoría jurídica de Antonio García-</w:t>
      </w:r>
      <w:proofErr w:type="spellStart"/>
      <w:r w:rsidRPr="003C21FD">
        <w:rPr>
          <w:rFonts w:eastAsia="Times New Roman" w:cs="Times New Roman"/>
          <w:color w:val="000000"/>
          <w:spacing w:val="3"/>
          <w:szCs w:val="20"/>
          <w:lang w:eastAsia="es-ES"/>
        </w:rPr>
        <w:t>Trevijano</w:t>
      </w:r>
      <w:proofErr w:type="spellEnd"/>
      <w:r w:rsidRPr="003C21FD">
        <w:rPr>
          <w:rFonts w:eastAsia="Times New Roman" w:cs="Times New Roman"/>
          <w:color w:val="000000"/>
          <w:spacing w:val="3"/>
          <w:szCs w:val="20"/>
          <w:lang w:eastAsia="es-ES"/>
        </w:rPr>
        <w:t xml:space="preserve"> en su fórmula constitucional </w:t>
      </w:r>
      <w:r w:rsidRPr="003C21FD">
        <w:rPr>
          <w:rFonts w:eastAsia="Times New Roman" w:cs="Times New Roman"/>
          <w:i/>
          <w:iCs/>
          <w:color w:val="000000"/>
          <w:spacing w:val="3"/>
          <w:szCs w:val="20"/>
          <w:lang w:eastAsia="es-ES"/>
        </w:rPr>
        <w:t>—</w:t>
      </w:r>
      <w:r w:rsidRPr="003C21FD">
        <w:rPr>
          <w:rFonts w:eastAsia="Times New Roman" w:cs="Times New Roman"/>
          <w:color w:val="000000"/>
          <w:spacing w:val="3"/>
          <w:szCs w:val="20"/>
          <w:lang w:eastAsia="es-ES"/>
        </w:rPr>
        <w:t>de control institucional del poder político por parte de la sociedad civil. Para ello, si bien un análisis epistemológico se ve influido por la teoría general del Estado, indisociable del estudio político, filosófico, antropológico y lingüístico (en cuanto que nos facilita el entendimiento de algunas variaciones del lenguaje), en última instancia, una aproximación ontológica al Derecho Constitucional establece unas reglas estructurales que fundamentan en el plano legal, de la más depurada metafísica a una formalidad científica e irreductible, a dicho sistema y al propio </w:t>
      </w:r>
      <w:proofErr w:type="spellStart"/>
      <w:r w:rsidRPr="003C21FD">
        <w:rPr>
          <w:rFonts w:eastAsia="Times New Roman" w:cs="Times New Roman"/>
          <w:i/>
          <w:iCs/>
          <w:color w:val="000000"/>
          <w:spacing w:val="3"/>
          <w:szCs w:val="20"/>
          <w:lang w:eastAsia="es-ES"/>
        </w:rPr>
        <w:t>demos</w:t>
      </w:r>
      <w:r w:rsidRPr="003C21FD">
        <w:rPr>
          <w:rFonts w:eastAsia="Times New Roman" w:cs="Times New Roman"/>
          <w:color w:val="000000"/>
          <w:spacing w:val="3"/>
          <w:szCs w:val="20"/>
          <w:lang w:eastAsia="es-ES"/>
        </w:rPr>
        <w:t>como</w:t>
      </w:r>
      <w:proofErr w:type="spellEnd"/>
      <w:r w:rsidRPr="003C21FD">
        <w:rPr>
          <w:rFonts w:eastAsia="Times New Roman" w:cs="Times New Roman"/>
          <w:color w:val="000000"/>
          <w:spacing w:val="3"/>
          <w:szCs w:val="20"/>
          <w:lang w:eastAsia="es-ES"/>
        </w:rPr>
        <w:t xml:space="preserve"> un todo unitario y dinámico en cuanto que consecuencia del origen objetivo constitucional. En otras palabras, buscaremos aprehender, por un lado, una Constitución en cuanto que unidad jurídica (positivismo del </w:t>
      </w:r>
      <w:r w:rsidRPr="003C21FD">
        <w:rPr>
          <w:rFonts w:eastAsia="Times New Roman" w:cs="Times New Roman"/>
          <w:i/>
          <w:iCs/>
          <w:color w:val="000000"/>
          <w:spacing w:val="3"/>
          <w:szCs w:val="20"/>
          <w:lang w:eastAsia="es-ES"/>
        </w:rPr>
        <w:t>deber ser</w:t>
      </w:r>
      <w:r w:rsidRPr="003C21FD">
        <w:rPr>
          <w:rFonts w:eastAsia="Times New Roman" w:cs="Times New Roman"/>
          <w:color w:val="000000"/>
          <w:spacing w:val="3"/>
          <w:szCs w:val="20"/>
          <w:lang w:eastAsia="es-ES"/>
        </w:rPr>
        <w:t>) y por otro, y más importante, el cómo se deduce esta normatividad, de qué principio o principios emana y con qué fin se emprende la legítima acción constituyente (la razón justa del </w:t>
      </w:r>
      <w:r w:rsidRPr="003C21FD">
        <w:rPr>
          <w:rFonts w:eastAsia="Times New Roman" w:cs="Times New Roman"/>
          <w:i/>
          <w:iCs/>
          <w:color w:val="000000"/>
          <w:spacing w:val="3"/>
          <w:szCs w:val="20"/>
          <w:lang w:eastAsia="es-ES"/>
        </w:rPr>
        <w:t>ser</w:t>
      </w:r>
      <w:r w:rsidRPr="003C21FD">
        <w:rPr>
          <w:rFonts w:eastAsia="Times New Roman" w:cs="Times New Roman"/>
          <w:color w:val="000000"/>
          <w:spacing w:val="3"/>
          <w:szCs w:val="20"/>
          <w:lang w:eastAsia="es-ES"/>
        </w:rPr>
        <w:t>). Así, el sistema queda cerrado al tiempo que vivo. En definitiva, de este trabajo se desprende un marcado </w:t>
      </w:r>
      <w:r w:rsidRPr="003C21FD">
        <w:rPr>
          <w:rFonts w:eastAsia="Times New Roman" w:cs="Times New Roman"/>
          <w:i/>
          <w:iCs/>
          <w:color w:val="000000"/>
          <w:spacing w:val="3"/>
          <w:szCs w:val="20"/>
          <w:lang w:eastAsia="es-ES"/>
        </w:rPr>
        <w:t>—</w:t>
      </w:r>
      <w:r w:rsidRPr="003C21FD">
        <w:rPr>
          <w:rFonts w:eastAsia="Times New Roman" w:cs="Times New Roman"/>
          <w:color w:val="000000"/>
          <w:spacing w:val="3"/>
          <w:szCs w:val="20"/>
          <w:lang w:eastAsia="es-ES"/>
        </w:rPr>
        <w:t>y a todas luces necesario</w:t>
      </w:r>
      <w:r w:rsidRPr="003C21FD">
        <w:rPr>
          <w:rFonts w:eastAsia="Times New Roman" w:cs="Times New Roman"/>
          <w:i/>
          <w:iCs/>
          <w:color w:val="000000"/>
          <w:spacing w:val="3"/>
          <w:szCs w:val="20"/>
          <w:lang w:eastAsia="es-ES"/>
        </w:rPr>
        <w:t>—</w:t>
      </w:r>
      <w:r w:rsidRPr="003C21FD">
        <w:rPr>
          <w:rFonts w:eastAsia="Times New Roman" w:cs="Times New Roman"/>
          <w:color w:val="000000"/>
          <w:spacing w:val="3"/>
          <w:szCs w:val="20"/>
          <w:lang w:eastAsia="es-ES"/>
        </w:rPr>
        <w:t> perfil analítico al respecto del decurso político, y mediático, y su impacto en el paradigma, pero también una visión esperanzadora a tenor de las depuradas herramientas formales que el mastodóntico pensador granadino puso a nuestra disposición.</w:t>
      </w:r>
    </w:p>
    <w:p w:rsidR="003C21FD" w:rsidRPr="003C21FD" w:rsidRDefault="003C21FD" w:rsidP="003C21FD">
      <w:pPr>
        <w:shd w:val="clear" w:color="auto" w:fill="FCFCFC"/>
        <w:jc w:val="both"/>
        <w:rPr>
          <w:rFonts w:eastAsia="Times New Roman" w:cs="Times New Roman"/>
          <w:color w:val="000000"/>
          <w:spacing w:val="3"/>
          <w:szCs w:val="20"/>
          <w:lang w:eastAsia="es-ES"/>
        </w:rPr>
      </w:pPr>
      <w:r w:rsidRPr="003C21FD">
        <w:rPr>
          <w:rFonts w:eastAsia="Times New Roman" w:cs="Times New Roman"/>
          <w:color w:val="000000"/>
          <w:spacing w:val="3"/>
          <w:szCs w:val="20"/>
          <w:lang w:eastAsia="es-ES"/>
        </w:rPr>
        <w:t>    Segundo, el </w:t>
      </w:r>
      <w:r w:rsidRPr="003C21FD">
        <w:rPr>
          <w:rFonts w:eastAsia="Times New Roman" w:cs="Times New Roman"/>
          <w:i/>
          <w:iCs/>
          <w:color w:val="000000"/>
          <w:spacing w:val="3"/>
          <w:szCs w:val="20"/>
          <w:lang w:eastAsia="es-ES"/>
        </w:rPr>
        <w:t>logos</w:t>
      </w:r>
      <w:r w:rsidRPr="003C21FD">
        <w:rPr>
          <w:rFonts w:eastAsia="Times New Roman" w:cs="Times New Roman"/>
          <w:color w:val="000000"/>
          <w:spacing w:val="3"/>
          <w:szCs w:val="20"/>
          <w:lang w:eastAsia="es-ES"/>
        </w:rPr>
        <w:t> que conforma esta serie de trabajos nace de tres preceptos elementales. Así, la </w:t>
      </w:r>
      <w:r w:rsidRPr="003C21FD">
        <w:rPr>
          <w:rFonts w:eastAsia="Times New Roman" w:cs="Times New Roman"/>
          <w:i/>
          <w:iCs/>
          <w:color w:val="000000"/>
          <w:spacing w:val="3"/>
          <w:szCs w:val="20"/>
          <w:lang w:eastAsia="es-ES"/>
        </w:rPr>
        <w:t>separación y equilibrio de poderes</w:t>
      </w:r>
      <w:hyperlink r:id="rId5" w:anchor="_ftn1" w:history="1">
        <w:r w:rsidRPr="003C21FD">
          <w:rPr>
            <w:rFonts w:eastAsia="Times New Roman" w:cs="Times New Roman"/>
            <w:b/>
            <w:bCs/>
            <w:i/>
            <w:iCs/>
            <w:color w:val="222222"/>
            <w:spacing w:val="3"/>
            <w:szCs w:val="20"/>
            <w:lang w:eastAsia="es-ES"/>
          </w:rPr>
          <w:t>[1]</w:t>
        </w:r>
      </w:hyperlink>
      <w:r w:rsidRPr="003C21FD">
        <w:rPr>
          <w:rFonts w:eastAsia="Times New Roman" w:cs="Times New Roman"/>
          <w:i/>
          <w:iCs/>
          <w:color w:val="000000"/>
          <w:spacing w:val="3"/>
          <w:szCs w:val="20"/>
          <w:lang w:eastAsia="es-ES"/>
        </w:rPr>
        <w:t> </w:t>
      </w:r>
      <w:r w:rsidRPr="003C21FD">
        <w:rPr>
          <w:rFonts w:eastAsia="Times New Roman" w:cs="Times New Roman"/>
          <w:color w:val="000000"/>
          <w:spacing w:val="3"/>
          <w:szCs w:val="20"/>
          <w:lang w:eastAsia="es-ES"/>
        </w:rPr>
        <w:t>y la </w:t>
      </w:r>
      <w:r w:rsidRPr="003C21FD">
        <w:rPr>
          <w:rFonts w:eastAsia="Times New Roman" w:cs="Times New Roman"/>
          <w:i/>
          <w:iCs/>
          <w:color w:val="000000"/>
          <w:spacing w:val="3"/>
          <w:szCs w:val="20"/>
          <w:lang w:eastAsia="es-ES"/>
        </w:rPr>
        <w:t>representación</w:t>
      </w:r>
      <w:r w:rsidRPr="003C21FD">
        <w:rPr>
          <w:rFonts w:eastAsia="Times New Roman" w:cs="Times New Roman"/>
          <w:color w:val="000000"/>
          <w:spacing w:val="3"/>
          <w:szCs w:val="20"/>
          <w:lang w:eastAsia="es-ES"/>
        </w:rPr>
        <w:t> </w:t>
      </w:r>
      <w:r w:rsidRPr="003C21FD">
        <w:rPr>
          <w:rFonts w:eastAsia="Times New Roman" w:cs="Times New Roman"/>
          <w:i/>
          <w:iCs/>
          <w:color w:val="000000"/>
          <w:spacing w:val="3"/>
          <w:szCs w:val="20"/>
          <w:lang w:eastAsia="es-ES"/>
        </w:rPr>
        <w:t>política</w:t>
      </w:r>
      <w:r w:rsidRPr="003C21FD">
        <w:rPr>
          <w:rFonts w:eastAsia="Times New Roman" w:cs="Times New Roman"/>
          <w:color w:val="000000"/>
          <w:spacing w:val="3"/>
          <w:szCs w:val="20"/>
          <w:lang w:eastAsia="es-ES"/>
        </w:rPr>
        <w:t> </w:t>
      </w:r>
      <w:r w:rsidRPr="003C21FD">
        <w:rPr>
          <w:rFonts w:eastAsia="Times New Roman" w:cs="Times New Roman"/>
          <w:i/>
          <w:iCs/>
          <w:color w:val="000000"/>
          <w:spacing w:val="3"/>
          <w:szCs w:val="20"/>
          <w:lang w:eastAsia="es-ES"/>
        </w:rPr>
        <w:t>del elector</w:t>
      </w:r>
      <w:hyperlink r:id="rId6" w:anchor="_ftn2" w:history="1">
        <w:r w:rsidRPr="003C21FD">
          <w:rPr>
            <w:rFonts w:eastAsia="Times New Roman" w:cs="Times New Roman"/>
            <w:b/>
            <w:bCs/>
            <w:i/>
            <w:iCs/>
            <w:color w:val="222222"/>
            <w:spacing w:val="3"/>
            <w:szCs w:val="20"/>
            <w:lang w:eastAsia="es-ES"/>
          </w:rPr>
          <w:t>[2]</w:t>
        </w:r>
      </w:hyperlink>
      <w:r w:rsidRPr="003C21FD">
        <w:rPr>
          <w:rFonts w:eastAsia="Times New Roman" w:cs="Times New Roman"/>
          <w:color w:val="000000"/>
          <w:spacing w:val="3"/>
          <w:szCs w:val="20"/>
          <w:lang w:eastAsia="es-ES"/>
        </w:rPr>
        <w:t> resultan imperativos para definir</w:t>
      </w:r>
      <w:r w:rsidRPr="003C21FD">
        <w:rPr>
          <w:rFonts w:eastAsia="Times New Roman" w:cs="Times New Roman"/>
          <w:i/>
          <w:iCs/>
          <w:color w:val="000000"/>
          <w:spacing w:val="3"/>
          <w:szCs w:val="20"/>
          <w:lang w:eastAsia="es-ES"/>
        </w:rPr>
        <w:t> </w:t>
      </w:r>
      <w:r w:rsidRPr="003C21FD">
        <w:rPr>
          <w:rFonts w:eastAsia="Times New Roman" w:cs="Times New Roman"/>
          <w:color w:val="000000"/>
          <w:spacing w:val="3"/>
          <w:szCs w:val="20"/>
          <w:lang w:eastAsia="es-ES"/>
        </w:rPr>
        <w:t>la</w:t>
      </w:r>
      <w:r w:rsidRPr="003C21FD">
        <w:rPr>
          <w:rFonts w:eastAsia="Times New Roman" w:cs="Times New Roman"/>
          <w:i/>
          <w:iCs/>
          <w:color w:val="000000"/>
          <w:spacing w:val="3"/>
          <w:szCs w:val="20"/>
          <w:lang w:eastAsia="es-ES"/>
        </w:rPr>
        <w:t> </w:t>
      </w:r>
      <w:r w:rsidRPr="003C21FD">
        <w:rPr>
          <w:rFonts w:eastAsia="Times New Roman" w:cs="Times New Roman"/>
          <w:color w:val="000000"/>
          <w:spacing w:val="3"/>
          <w:szCs w:val="20"/>
          <w:lang w:eastAsia="es-ES"/>
        </w:rPr>
        <w:t>democracia representativa, ya que en calidad de limitadores formales del poder político resultan substantivos para la existencia de aquélla. Por su parte, la </w:t>
      </w:r>
      <w:r w:rsidRPr="003C21FD">
        <w:rPr>
          <w:rFonts w:eastAsia="Times New Roman" w:cs="Times New Roman"/>
          <w:i/>
          <w:iCs/>
          <w:color w:val="000000"/>
          <w:spacing w:val="3"/>
          <w:szCs w:val="20"/>
          <w:lang w:eastAsia="es-ES"/>
        </w:rPr>
        <w:t>libertad política colectiva</w:t>
      </w:r>
      <w:hyperlink r:id="rId7" w:anchor="_ftn3" w:history="1">
        <w:r w:rsidRPr="003C21FD">
          <w:rPr>
            <w:rFonts w:eastAsia="Times New Roman" w:cs="Times New Roman"/>
            <w:b/>
            <w:bCs/>
            <w:i/>
            <w:iCs/>
            <w:color w:val="222222"/>
            <w:spacing w:val="3"/>
            <w:szCs w:val="20"/>
            <w:lang w:eastAsia="es-ES"/>
          </w:rPr>
          <w:t>[3]</w:t>
        </w:r>
      </w:hyperlink>
      <w:r w:rsidRPr="003C21FD">
        <w:rPr>
          <w:rFonts w:eastAsia="Times New Roman" w:cs="Times New Roman"/>
          <w:i/>
          <w:iCs/>
          <w:color w:val="000000"/>
          <w:spacing w:val="3"/>
          <w:szCs w:val="20"/>
          <w:lang w:eastAsia="es-ES"/>
        </w:rPr>
        <w:t>,</w:t>
      </w:r>
      <w:r w:rsidRPr="003C21FD">
        <w:rPr>
          <w:rFonts w:eastAsia="Times New Roman" w:cs="Times New Roman"/>
          <w:b/>
          <w:bCs/>
          <w:i/>
          <w:iCs/>
          <w:color w:val="000000"/>
          <w:spacing w:val="3"/>
          <w:szCs w:val="20"/>
          <w:lang w:eastAsia="es-ES"/>
        </w:rPr>
        <w:t> </w:t>
      </w:r>
      <w:r w:rsidRPr="003C21FD">
        <w:rPr>
          <w:rFonts w:eastAsia="Times New Roman" w:cs="Times New Roman"/>
          <w:color w:val="000000"/>
          <w:spacing w:val="3"/>
          <w:szCs w:val="20"/>
          <w:lang w:eastAsia="es-ES"/>
        </w:rPr>
        <w:t xml:space="preserve">nodo </w:t>
      </w:r>
      <w:proofErr w:type="spellStart"/>
      <w:r w:rsidRPr="003C21FD">
        <w:rPr>
          <w:rFonts w:eastAsia="Times New Roman" w:cs="Times New Roman"/>
          <w:color w:val="000000"/>
          <w:spacing w:val="3"/>
          <w:szCs w:val="20"/>
          <w:lang w:eastAsia="es-ES"/>
        </w:rPr>
        <w:t>fundante</w:t>
      </w:r>
      <w:proofErr w:type="spellEnd"/>
      <w:r w:rsidRPr="003C21FD">
        <w:rPr>
          <w:rFonts w:eastAsia="Times New Roman" w:cs="Times New Roman"/>
          <w:color w:val="000000"/>
          <w:spacing w:val="3"/>
          <w:szCs w:val="20"/>
          <w:lang w:eastAsia="es-ES"/>
        </w:rPr>
        <w:t xml:space="preserve"> de este sistema</w:t>
      </w:r>
      <w:r w:rsidRPr="003C21FD">
        <w:rPr>
          <w:rFonts w:eastAsia="Times New Roman" w:cs="Times New Roman"/>
          <w:i/>
          <w:iCs/>
          <w:color w:val="000000"/>
          <w:spacing w:val="3"/>
          <w:szCs w:val="20"/>
          <w:lang w:eastAsia="es-ES"/>
        </w:rPr>
        <w:t> </w:t>
      </w:r>
      <w:r w:rsidRPr="003C21FD">
        <w:rPr>
          <w:rFonts w:eastAsia="Times New Roman" w:cs="Times New Roman"/>
          <w:color w:val="000000"/>
          <w:spacing w:val="3"/>
          <w:szCs w:val="20"/>
          <w:lang w:eastAsia="es-ES"/>
        </w:rPr>
        <w:t>constitucional, además de conformar la acción constituyente</w:t>
      </w:r>
      <w:r w:rsidRPr="003C21FD">
        <w:rPr>
          <w:rFonts w:eastAsia="Times New Roman" w:cs="Times New Roman"/>
          <w:i/>
          <w:iCs/>
          <w:color w:val="000000"/>
          <w:spacing w:val="3"/>
          <w:szCs w:val="20"/>
          <w:lang w:eastAsia="es-ES"/>
        </w:rPr>
        <w:t>, </w:t>
      </w:r>
      <w:r w:rsidRPr="003C21FD">
        <w:rPr>
          <w:rFonts w:eastAsia="Times New Roman" w:cs="Times New Roman"/>
          <w:color w:val="000000"/>
          <w:spacing w:val="3"/>
          <w:szCs w:val="20"/>
          <w:lang w:eastAsia="es-ES"/>
        </w:rPr>
        <w:t>deberá tener su salvaguardia garantizada por su cualidad de fundamento prístino de(en) la propia Constitución, esto es, como principio y consecuencia de la existencia política libre del </w:t>
      </w:r>
      <w:r w:rsidRPr="003C21FD">
        <w:rPr>
          <w:rFonts w:eastAsia="Times New Roman" w:cs="Times New Roman"/>
          <w:i/>
          <w:iCs/>
          <w:color w:val="000000"/>
          <w:spacing w:val="3"/>
          <w:szCs w:val="20"/>
          <w:lang w:eastAsia="es-ES"/>
        </w:rPr>
        <w:t>demos</w:t>
      </w:r>
      <w:r w:rsidRPr="003C21FD">
        <w:rPr>
          <w:rFonts w:eastAsia="Times New Roman" w:cs="Times New Roman"/>
          <w:color w:val="000000"/>
          <w:spacing w:val="3"/>
          <w:szCs w:val="20"/>
          <w:lang w:eastAsia="es-ES"/>
        </w:rPr>
        <w:t>.</w:t>
      </w:r>
    </w:p>
    <w:p w:rsidR="003C21FD" w:rsidRPr="003C21FD" w:rsidRDefault="003C21FD" w:rsidP="003C21FD">
      <w:pPr>
        <w:shd w:val="clear" w:color="auto" w:fill="FCFCFC"/>
        <w:jc w:val="both"/>
        <w:rPr>
          <w:rFonts w:eastAsia="Times New Roman" w:cs="Times New Roman"/>
          <w:color w:val="000000"/>
          <w:spacing w:val="3"/>
          <w:szCs w:val="20"/>
          <w:lang w:eastAsia="es-ES"/>
        </w:rPr>
      </w:pPr>
      <w:r w:rsidRPr="003C21FD">
        <w:rPr>
          <w:rFonts w:eastAsia="Times New Roman" w:cs="Times New Roman"/>
          <w:color w:val="000000"/>
          <w:spacing w:val="3"/>
          <w:szCs w:val="20"/>
          <w:lang w:eastAsia="es-ES"/>
        </w:rPr>
        <w:t xml:space="preserve">    Tercero y último, este trabajo no pretende convertirse en otra revisión inane o sucesión de disertaciones monográficas sin una proyección práctica. Constatar, empero, la naturaleza ubicua de las distorsiones retóricas, jurídicas y </w:t>
      </w:r>
      <w:proofErr w:type="spellStart"/>
      <w:r w:rsidRPr="003C21FD">
        <w:rPr>
          <w:rFonts w:eastAsia="Times New Roman" w:cs="Times New Roman"/>
          <w:color w:val="000000"/>
          <w:spacing w:val="3"/>
          <w:szCs w:val="20"/>
          <w:lang w:eastAsia="es-ES"/>
        </w:rPr>
        <w:t>filosóficaslatentes</w:t>
      </w:r>
      <w:proofErr w:type="spellEnd"/>
      <w:r w:rsidRPr="003C21FD">
        <w:rPr>
          <w:rFonts w:eastAsia="Times New Roman" w:cs="Times New Roman"/>
          <w:color w:val="000000"/>
          <w:spacing w:val="3"/>
          <w:szCs w:val="20"/>
          <w:lang w:eastAsia="es-ES"/>
        </w:rPr>
        <w:t xml:space="preserve"> en los regímenes políticos contemporáneos, si quiera sea a partir de la Revolución Francesa; así como denunciar el ardid ideológico que subyace en entelequias</w:t>
      </w:r>
      <w:r w:rsidRPr="003C21FD">
        <w:rPr>
          <w:rFonts w:eastAsia="Times New Roman" w:cs="Times New Roman"/>
          <w:i/>
          <w:iCs/>
          <w:color w:val="000000"/>
          <w:spacing w:val="3"/>
          <w:szCs w:val="20"/>
          <w:lang w:eastAsia="es-ES"/>
        </w:rPr>
        <w:t> </w:t>
      </w:r>
      <w:r w:rsidRPr="003C21FD">
        <w:rPr>
          <w:rFonts w:eastAsia="Times New Roman" w:cs="Times New Roman"/>
          <w:color w:val="000000"/>
          <w:spacing w:val="3"/>
          <w:szCs w:val="20"/>
          <w:lang w:eastAsia="es-ES"/>
        </w:rPr>
        <w:t>tales, verbigracia, que la </w:t>
      </w:r>
      <w:r w:rsidRPr="003C21FD">
        <w:rPr>
          <w:rFonts w:eastAsia="Times New Roman" w:cs="Times New Roman"/>
          <w:i/>
          <w:iCs/>
          <w:color w:val="000000"/>
          <w:spacing w:val="3"/>
          <w:szCs w:val="20"/>
          <w:lang w:eastAsia="es-ES"/>
        </w:rPr>
        <w:t>soberanía de la voluntad nacional/popular </w:t>
      </w:r>
      <w:r w:rsidRPr="003C21FD">
        <w:rPr>
          <w:rFonts w:eastAsia="Times New Roman" w:cs="Times New Roman"/>
          <w:color w:val="000000"/>
          <w:spacing w:val="3"/>
          <w:szCs w:val="20"/>
          <w:lang w:eastAsia="es-ES"/>
        </w:rPr>
        <w:t>(Artículo 1 párrafo 2º de la Constitución Española de 1978-Contrato Social, 1762, Jean-Jacques Rousseau)</w:t>
      </w:r>
      <w:r w:rsidRPr="003C21FD">
        <w:rPr>
          <w:rFonts w:eastAsia="Times New Roman" w:cs="Times New Roman"/>
          <w:i/>
          <w:iCs/>
          <w:color w:val="000000"/>
          <w:spacing w:val="3"/>
          <w:szCs w:val="20"/>
          <w:lang w:eastAsia="es-ES"/>
        </w:rPr>
        <w:t>, </w:t>
      </w:r>
      <w:r w:rsidRPr="003C21FD">
        <w:rPr>
          <w:rFonts w:eastAsia="Times New Roman" w:cs="Times New Roman"/>
          <w:color w:val="000000"/>
          <w:spacing w:val="3"/>
          <w:szCs w:val="20"/>
          <w:lang w:eastAsia="es-ES"/>
        </w:rPr>
        <w:t>serán, por todo lo expuesto, pautas necesarias para evitar caer en la ambigüedad argumental y mantener una exposición de preceptos sólida y funcional. Con todo, estudiando estas distorsiones el análisis de la retórica mediático-institucional cobrará su relevancia, pues mi finalidad, tanto en esta pieza como en ulteriores, no debe ser interpretada tanto como un trabajo holístico de derecho constitucional, filosofía política o filosofía del lenguaje, sino que más bien encuentra un equilibrio analítico entre las tres disciplinas, conjugando el estado presente de las cosas con aquel que, a mi juicio, está por venir.</w:t>
      </w:r>
    </w:p>
    <w:p w:rsidR="003C21FD" w:rsidRPr="003C21FD" w:rsidRDefault="003C21FD" w:rsidP="003C21FD">
      <w:pPr>
        <w:shd w:val="clear" w:color="auto" w:fill="FCFCFC"/>
        <w:jc w:val="both"/>
        <w:rPr>
          <w:rFonts w:eastAsia="Times New Roman" w:cs="Times New Roman"/>
          <w:color w:val="000000"/>
          <w:spacing w:val="3"/>
          <w:szCs w:val="20"/>
          <w:lang w:eastAsia="es-ES"/>
        </w:rPr>
      </w:pPr>
      <w:r w:rsidRPr="003C21FD">
        <w:rPr>
          <w:rFonts w:eastAsia="Times New Roman" w:cs="Times New Roman"/>
          <w:color w:val="000000"/>
          <w:spacing w:val="3"/>
          <w:szCs w:val="20"/>
          <w:lang w:eastAsia="es-ES"/>
        </w:rPr>
        <w:t>    Finalmente, permítame el lector que cierre esta breve presentación de motivos con una nota de precaución metodológica: El hecho de llegar a criticar en determinados pasajes las posiciones doctrinales de, </w:t>
      </w:r>
      <w:r w:rsidRPr="003C21FD">
        <w:rPr>
          <w:rFonts w:eastAsia="Times New Roman" w:cs="Times New Roman"/>
          <w:i/>
          <w:iCs/>
          <w:color w:val="000000"/>
          <w:spacing w:val="3"/>
          <w:szCs w:val="20"/>
          <w:lang w:eastAsia="es-ES"/>
        </w:rPr>
        <w:t xml:space="preserve">inter </w:t>
      </w:r>
      <w:proofErr w:type="spellStart"/>
      <w:r w:rsidRPr="003C21FD">
        <w:rPr>
          <w:rFonts w:eastAsia="Times New Roman" w:cs="Times New Roman"/>
          <w:i/>
          <w:iCs/>
          <w:color w:val="000000"/>
          <w:spacing w:val="3"/>
          <w:szCs w:val="20"/>
          <w:lang w:eastAsia="es-ES"/>
        </w:rPr>
        <w:t>alia</w:t>
      </w:r>
      <w:proofErr w:type="spellEnd"/>
      <w:r w:rsidRPr="003C21FD">
        <w:rPr>
          <w:rFonts w:eastAsia="Times New Roman" w:cs="Times New Roman"/>
          <w:i/>
          <w:iCs/>
          <w:color w:val="000000"/>
          <w:spacing w:val="3"/>
          <w:szCs w:val="20"/>
          <w:lang w:eastAsia="es-ES"/>
        </w:rPr>
        <w:t>,</w:t>
      </w:r>
      <w:r w:rsidRPr="003C21FD">
        <w:rPr>
          <w:rFonts w:eastAsia="Times New Roman" w:cs="Times New Roman"/>
          <w:color w:val="000000"/>
          <w:spacing w:val="3"/>
          <w:szCs w:val="20"/>
          <w:lang w:eastAsia="es-ES"/>
        </w:rPr>
        <w:t> </w:t>
      </w:r>
      <w:proofErr w:type="spellStart"/>
      <w:r w:rsidRPr="003C21FD">
        <w:rPr>
          <w:rFonts w:eastAsia="Times New Roman" w:cs="Times New Roman"/>
          <w:color w:val="000000"/>
          <w:spacing w:val="3"/>
          <w:szCs w:val="20"/>
          <w:lang w:eastAsia="es-ES"/>
        </w:rPr>
        <w:t>Kelsen</w:t>
      </w:r>
      <w:proofErr w:type="spellEnd"/>
      <w:r w:rsidRPr="003C21FD">
        <w:rPr>
          <w:rFonts w:eastAsia="Times New Roman" w:cs="Times New Roman"/>
          <w:color w:val="000000"/>
          <w:spacing w:val="3"/>
          <w:szCs w:val="20"/>
          <w:lang w:eastAsia="es-ES"/>
        </w:rPr>
        <w:t xml:space="preserve">, Rousseau o </w:t>
      </w:r>
      <w:proofErr w:type="spellStart"/>
      <w:r w:rsidRPr="003C21FD">
        <w:rPr>
          <w:rFonts w:eastAsia="Times New Roman" w:cs="Times New Roman"/>
          <w:color w:val="000000"/>
          <w:spacing w:val="3"/>
          <w:szCs w:val="20"/>
          <w:lang w:eastAsia="es-ES"/>
        </w:rPr>
        <w:t>Leibholz</w:t>
      </w:r>
      <w:proofErr w:type="spellEnd"/>
      <w:r w:rsidRPr="003C21FD">
        <w:rPr>
          <w:rFonts w:eastAsia="Times New Roman" w:cs="Times New Roman"/>
          <w:color w:val="000000"/>
          <w:spacing w:val="3"/>
          <w:szCs w:val="20"/>
          <w:lang w:eastAsia="es-ES"/>
        </w:rPr>
        <w:t xml:space="preserve">, no significa que se esté invalidando toda aproximación intelectual hecha por los mismos al respecto de la temática </w:t>
      </w:r>
      <w:r w:rsidRPr="003C21FD">
        <w:rPr>
          <w:rFonts w:eastAsia="Times New Roman" w:cs="Times New Roman"/>
          <w:color w:val="000000"/>
          <w:spacing w:val="3"/>
          <w:szCs w:val="20"/>
          <w:lang w:eastAsia="es-ES"/>
        </w:rPr>
        <w:lastRenderedPageBreak/>
        <w:t xml:space="preserve">que aquí se trata. Primero porque sería taimado por mi parte tratar de opacar la brillante naturaleza </w:t>
      </w:r>
      <w:proofErr w:type="spellStart"/>
      <w:r w:rsidRPr="003C21FD">
        <w:rPr>
          <w:rFonts w:eastAsia="Times New Roman" w:cs="Times New Roman"/>
          <w:color w:val="000000"/>
          <w:spacing w:val="3"/>
          <w:szCs w:val="20"/>
          <w:lang w:eastAsia="es-ES"/>
        </w:rPr>
        <w:t>fictiva</w:t>
      </w:r>
      <w:proofErr w:type="spellEnd"/>
      <w:r w:rsidRPr="003C21FD">
        <w:rPr>
          <w:rFonts w:eastAsia="Times New Roman" w:cs="Times New Roman"/>
          <w:color w:val="000000"/>
          <w:spacing w:val="3"/>
          <w:szCs w:val="20"/>
          <w:lang w:eastAsia="es-ES"/>
        </w:rPr>
        <w:t xml:space="preserve"> de Rousseau, la crudeza de </w:t>
      </w:r>
      <w:proofErr w:type="spellStart"/>
      <w:r w:rsidRPr="003C21FD">
        <w:rPr>
          <w:rFonts w:eastAsia="Times New Roman" w:cs="Times New Roman"/>
          <w:color w:val="000000"/>
          <w:spacing w:val="3"/>
          <w:szCs w:val="20"/>
          <w:lang w:eastAsia="es-ES"/>
        </w:rPr>
        <w:t>Leibholz</w:t>
      </w:r>
      <w:proofErr w:type="spellEnd"/>
      <w:r w:rsidRPr="003C21FD">
        <w:rPr>
          <w:rFonts w:eastAsia="Times New Roman" w:cs="Times New Roman"/>
          <w:color w:val="000000"/>
          <w:spacing w:val="3"/>
          <w:szCs w:val="20"/>
          <w:lang w:eastAsia="es-ES"/>
        </w:rPr>
        <w:t xml:space="preserve"> o la no siempre innecesaria pulsión </w:t>
      </w:r>
      <w:proofErr w:type="spellStart"/>
      <w:r w:rsidRPr="003C21FD">
        <w:rPr>
          <w:rFonts w:eastAsia="Times New Roman" w:cs="Times New Roman"/>
          <w:color w:val="000000"/>
          <w:spacing w:val="3"/>
          <w:szCs w:val="20"/>
          <w:lang w:eastAsia="es-ES"/>
        </w:rPr>
        <w:t>normativizadora</w:t>
      </w:r>
      <w:proofErr w:type="spellEnd"/>
      <w:r w:rsidRPr="003C21FD">
        <w:rPr>
          <w:rFonts w:eastAsia="Times New Roman" w:cs="Times New Roman"/>
          <w:color w:val="000000"/>
          <w:spacing w:val="3"/>
          <w:szCs w:val="20"/>
          <w:lang w:eastAsia="es-ES"/>
        </w:rPr>
        <w:t xml:space="preserve"> de </w:t>
      </w:r>
      <w:proofErr w:type="spellStart"/>
      <w:r w:rsidRPr="003C21FD">
        <w:rPr>
          <w:rFonts w:eastAsia="Times New Roman" w:cs="Times New Roman"/>
          <w:color w:val="000000"/>
          <w:spacing w:val="3"/>
          <w:szCs w:val="20"/>
          <w:lang w:eastAsia="es-ES"/>
        </w:rPr>
        <w:t>Kelsen</w:t>
      </w:r>
      <w:proofErr w:type="spellEnd"/>
      <w:r w:rsidRPr="003C21FD">
        <w:rPr>
          <w:rFonts w:eastAsia="Times New Roman" w:cs="Times New Roman"/>
          <w:color w:val="000000"/>
          <w:spacing w:val="3"/>
          <w:szCs w:val="20"/>
          <w:lang w:eastAsia="es-ES"/>
        </w:rPr>
        <w:t xml:space="preserve">. Y segundo porque tal vez sin determinados errores no seríamos capaces de apreciar en su justa medida la </w:t>
      </w:r>
      <w:proofErr w:type="spellStart"/>
      <w:r w:rsidRPr="003C21FD">
        <w:rPr>
          <w:rFonts w:eastAsia="Times New Roman" w:cs="Times New Roman"/>
          <w:color w:val="000000"/>
          <w:spacing w:val="3"/>
          <w:szCs w:val="20"/>
          <w:lang w:eastAsia="es-ES"/>
        </w:rPr>
        <w:t>distópica</w:t>
      </w:r>
      <w:proofErr w:type="spellEnd"/>
      <w:r w:rsidRPr="003C21FD">
        <w:rPr>
          <w:rFonts w:eastAsia="Times New Roman" w:cs="Times New Roman"/>
          <w:color w:val="000000"/>
          <w:spacing w:val="3"/>
          <w:szCs w:val="20"/>
          <w:lang w:eastAsia="es-ES"/>
        </w:rPr>
        <w:t xml:space="preserve"> precisión legal inherente a la obra de un </w:t>
      </w:r>
      <w:proofErr w:type="spellStart"/>
      <w:r w:rsidRPr="003C21FD">
        <w:rPr>
          <w:rFonts w:eastAsia="Times New Roman" w:cs="Times New Roman"/>
          <w:color w:val="000000"/>
          <w:spacing w:val="3"/>
          <w:szCs w:val="20"/>
          <w:lang w:eastAsia="es-ES"/>
        </w:rPr>
        <w:t>Montesquieu</w:t>
      </w:r>
      <w:proofErr w:type="spellEnd"/>
      <w:r w:rsidRPr="003C21FD">
        <w:rPr>
          <w:rFonts w:eastAsia="Times New Roman" w:cs="Times New Roman"/>
          <w:color w:val="000000"/>
          <w:spacing w:val="3"/>
          <w:szCs w:val="20"/>
          <w:lang w:eastAsia="es-ES"/>
        </w:rPr>
        <w:t xml:space="preserve"> o un García-</w:t>
      </w:r>
      <w:proofErr w:type="spellStart"/>
      <w:r w:rsidRPr="003C21FD">
        <w:rPr>
          <w:rFonts w:eastAsia="Times New Roman" w:cs="Times New Roman"/>
          <w:color w:val="000000"/>
          <w:spacing w:val="3"/>
          <w:szCs w:val="20"/>
          <w:lang w:eastAsia="es-ES"/>
        </w:rPr>
        <w:t>Trevijano</w:t>
      </w:r>
      <w:proofErr w:type="spellEnd"/>
      <w:r w:rsidRPr="003C21FD">
        <w:rPr>
          <w:rFonts w:eastAsia="Times New Roman" w:cs="Times New Roman"/>
          <w:color w:val="000000"/>
          <w:spacing w:val="3"/>
          <w:szCs w:val="20"/>
          <w:lang w:eastAsia="es-ES"/>
        </w:rPr>
        <w:t>.</w:t>
      </w:r>
    </w:p>
    <w:p w:rsidR="003C21FD" w:rsidRPr="003C21FD" w:rsidRDefault="003C21FD" w:rsidP="003C21FD">
      <w:pPr>
        <w:shd w:val="clear" w:color="auto" w:fill="FCFCFC"/>
        <w:jc w:val="both"/>
        <w:rPr>
          <w:rFonts w:eastAsia="Times New Roman" w:cs="Times New Roman"/>
          <w:color w:val="000000"/>
          <w:spacing w:val="3"/>
          <w:szCs w:val="20"/>
          <w:lang w:eastAsia="es-ES"/>
        </w:rPr>
      </w:pPr>
      <w:r w:rsidRPr="003C21FD">
        <w:rPr>
          <w:rFonts w:eastAsia="Times New Roman" w:cs="Times New Roman"/>
          <w:color w:val="000000"/>
          <w:spacing w:val="3"/>
          <w:szCs w:val="20"/>
          <w:lang w:eastAsia="es-ES"/>
        </w:rPr>
        <w:t>    Consecuentemente, dado que la figura del antagonismo resulta útil por su claridad a la hora de visibilizar pensamientos complejos, más si cabe en una era de desinformación masiva, le pido al lector que entienda el proyecto imaginado como el de una Constitución viva, como un proceso político armonizador, en contraposición a la carta otorgada de 1978 que nada constituye aparte de una oligarquía estatal de partidos políticos (</w:t>
      </w:r>
      <w:proofErr w:type="spellStart"/>
      <w:r w:rsidRPr="003C21FD">
        <w:rPr>
          <w:rFonts w:eastAsia="Times New Roman" w:cs="Times New Roman"/>
          <w:i/>
          <w:iCs/>
          <w:color w:val="000000"/>
          <w:spacing w:val="3"/>
          <w:szCs w:val="20"/>
          <w:lang w:eastAsia="es-ES"/>
        </w:rPr>
        <w:t>i.e</w:t>
      </w:r>
      <w:r w:rsidRPr="003C21FD">
        <w:rPr>
          <w:rFonts w:eastAsia="Times New Roman" w:cs="Times New Roman"/>
          <w:color w:val="000000"/>
          <w:spacing w:val="3"/>
          <w:szCs w:val="20"/>
          <w:lang w:eastAsia="es-ES"/>
        </w:rPr>
        <w:t>.</w:t>
      </w:r>
      <w:proofErr w:type="spellEnd"/>
      <w:r w:rsidRPr="003C21FD">
        <w:rPr>
          <w:rFonts w:eastAsia="Times New Roman" w:cs="Times New Roman"/>
          <w:color w:val="000000"/>
          <w:spacing w:val="3"/>
          <w:szCs w:val="20"/>
          <w:lang w:eastAsia="es-ES"/>
        </w:rPr>
        <w:t xml:space="preserve">, </w:t>
      </w:r>
      <w:proofErr w:type="spellStart"/>
      <w:r w:rsidRPr="003C21FD">
        <w:rPr>
          <w:rFonts w:eastAsia="Times New Roman" w:cs="Times New Roman"/>
          <w:color w:val="000000"/>
          <w:spacing w:val="3"/>
          <w:szCs w:val="20"/>
          <w:lang w:eastAsia="es-ES"/>
        </w:rPr>
        <w:t>partitocracia</w:t>
      </w:r>
      <w:proofErr w:type="spellEnd"/>
      <w:r w:rsidRPr="003C21FD">
        <w:rPr>
          <w:rFonts w:eastAsia="Times New Roman" w:cs="Times New Roman"/>
          <w:color w:val="000000"/>
          <w:spacing w:val="3"/>
          <w:szCs w:val="20"/>
          <w:lang w:eastAsia="es-ES"/>
        </w:rPr>
        <w:t>). Así, donde una es débil la otra será fuerte, donde una nace y muere en el Estado de Partidos, la otra nacerá y se dinamizará a partir del </w:t>
      </w:r>
      <w:r w:rsidRPr="003C21FD">
        <w:rPr>
          <w:rFonts w:eastAsia="Times New Roman" w:cs="Times New Roman"/>
          <w:i/>
          <w:iCs/>
          <w:color w:val="000000"/>
          <w:spacing w:val="3"/>
          <w:szCs w:val="20"/>
          <w:lang w:eastAsia="es-ES"/>
        </w:rPr>
        <w:t>demos</w:t>
      </w:r>
      <w:r w:rsidRPr="003C21FD">
        <w:rPr>
          <w:rFonts w:eastAsia="Times New Roman" w:cs="Times New Roman"/>
          <w:color w:val="000000"/>
          <w:spacing w:val="3"/>
          <w:szCs w:val="20"/>
          <w:lang w:eastAsia="es-ES"/>
        </w:rPr>
        <w:t>, que la dotará de una legitimidad unívoca y permanente, fundamentando la legalidad presente y futura para tranquilidad de los gobernados.</w:t>
      </w:r>
    </w:p>
    <w:p w:rsidR="003C21FD" w:rsidRPr="003C21FD" w:rsidRDefault="003C21FD" w:rsidP="003C21FD">
      <w:pPr>
        <w:shd w:val="clear" w:color="auto" w:fill="FCFCFC"/>
        <w:jc w:val="both"/>
        <w:rPr>
          <w:rFonts w:eastAsia="Times New Roman" w:cs="Times New Roman"/>
          <w:color w:val="000000"/>
          <w:spacing w:val="3"/>
          <w:szCs w:val="20"/>
          <w:lang w:eastAsia="es-ES"/>
        </w:rPr>
      </w:pPr>
      <w:hyperlink r:id="rId8" w:anchor="_ftnref1" w:history="1">
        <w:r w:rsidRPr="003C21FD">
          <w:rPr>
            <w:rFonts w:eastAsia="Times New Roman" w:cs="Times New Roman"/>
            <w:color w:val="222222"/>
            <w:spacing w:val="3"/>
            <w:szCs w:val="20"/>
            <w:lang w:eastAsia="es-ES"/>
          </w:rPr>
          <w:t>[1]</w:t>
        </w:r>
      </w:hyperlink>
      <w:r w:rsidRPr="003C21FD">
        <w:rPr>
          <w:rFonts w:eastAsia="Times New Roman" w:cs="Times New Roman"/>
          <w:color w:val="000000"/>
          <w:spacing w:val="3"/>
          <w:szCs w:val="20"/>
          <w:lang w:eastAsia="es-ES"/>
        </w:rPr>
        <w:t> En referencia a la </w:t>
      </w:r>
      <w:r w:rsidRPr="003C21FD">
        <w:rPr>
          <w:rFonts w:eastAsia="Times New Roman" w:cs="Times New Roman"/>
          <w:i/>
          <w:iCs/>
          <w:color w:val="000000"/>
          <w:spacing w:val="3"/>
          <w:szCs w:val="20"/>
          <w:lang w:eastAsia="es-ES"/>
        </w:rPr>
        <w:t>separación de poderes</w:t>
      </w:r>
      <w:r w:rsidRPr="003C21FD">
        <w:rPr>
          <w:rFonts w:eastAsia="Times New Roman" w:cs="Times New Roman"/>
          <w:color w:val="000000"/>
          <w:spacing w:val="3"/>
          <w:szCs w:val="20"/>
          <w:lang w:eastAsia="es-ES"/>
        </w:rPr>
        <w:t>, estipula el </w:t>
      </w:r>
      <w:r w:rsidRPr="003C21FD">
        <w:rPr>
          <w:rFonts w:eastAsia="Times New Roman" w:cs="Times New Roman"/>
          <w:i/>
          <w:iCs/>
          <w:color w:val="000000"/>
          <w:spacing w:val="3"/>
          <w:szCs w:val="20"/>
          <w:lang w:eastAsia="es-ES"/>
        </w:rPr>
        <w:t>Artículo XVI </w:t>
      </w:r>
      <w:r w:rsidRPr="003C21FD">
        <w:rPr>
          <w:rFonts w:eastAsia="Times New Roman" w:cs="Times New Roman"/>
          <w:color w:val="000000"/>
          <w:spacing w:val="3"/>
          <w:szCs w:val="20"/>
          <w:lang w:eastAsia="es-ES"/>
        </w:rPr>
        <w:t>de la</w:t>
      </w:r>
      <w:r w:rsidRPr="003C21FD">
        <w:rPr>
          <w:rFonts w:eastAsia="Times New Roman" w:cs="Times New Roman"/>
          <w:i/>
          <w:iCs/>
          <w:color w:val="000000"/>
          <w:spacing w:val="3"/>
          <w:szCs w:val="20"/>
          <w:lang w:eastAsia="es-ES"/>
        </w:rPr>
        <w:t> Declaración Universal de los Derechos del Hombre y del Ciudadano </w:t>
      </w:r>
      <w:r w:rsidRPr="003C21FD">
        <w:rPr>
          <w:rFonts w:eastAsia="Times New Roman" w:cs="Times New Roman"/>
          <w:color w:val="000000"/>
          <w:spacing w:val="3"/>
          <w:szCs w:val="20"/>
          <w:lang w:eastAsia="es-ES"/>
        </w:rPr>
        <w:t>aprobada por la</w:t>
      </w:r>
      <w:r w:rsidRPr="003C21FD">
        <w:rPr>
          <w:rFonts w:eastAsia="Times New Roman" w:cs="Times New Roman"/>
          <w:i/>
          <w:iCs/>
          <w:color w:val="000000"/>
          <w:spacing w:val="3"/>
          <w:szCs w:val="20"/>
          <w:lang w:eastAsia="es-ES"/>
        </w:rPr>
        <w:t> Asamblea Nacional Constituyente Francesa, </w:t>
      </w:r>
      <w:r w:rsidRPr="003C21FD">
        <w:rPr>
          <w:rFonts w:eastAsia="Times New Roman" w:cs="Times New Roman"/>
          <w:color w:val="000000"/>
          <w:spacing w:val="3"/>
          <w:szCs w:val="20"/>
          <w:lang w:eastAsia="es-ES"/>
        </w:rPr>
        <w:t>el 26 de agosto de 1789, que: “Una sociedad en la que la garantía de los derechos no está asegurada, ni la separación de poderes determinada, no tiene Constitución</w:t>
      </w:r>
      <w:r w:rsidRPr="003C21FD">
        <w:rPr>
          <w:rFonts w:eastAsia="Times New Roman" w:cs="Times New Roman"/>
          <w:i/>
          <w:iCs/>
          <w:color w:val="000000"/>
          <w:spacing w:val="3"/>
          <w:szCs w:val="20"/>
          <w:lang w:eastAsia="es-ES"/>
        </w:rPr>
        <w:t>”. </w:t>
      </w:r>
      <w:r w:rsidRPr="003C21FD">
        <w:rPr>
          <w:rFonts w:eastAsia="Times New Roman" w:cs="Times New Roman"/>
          <w:color w:val="000000"/>
          <w:spacing w:val="3"/>
          <w:szCs w:val="20"/>
          <w:lang w:eastAsia="es-ES"/>
        </w:rPr>
        <w:t>El mundo judicial deberá mantenerse independiente por no ser un poder político en puridad.</w:t>
      </w:r>
    </w:p>
    <w:p w:rsidR="003C21FD" w:rsidRPr="003C21FD" w:rsidRDefault="003C21FD" w:rsidP="003C21FD">
      <w:pPr>
        <w:shd w:val="clear" w:color="auto" w:fill="FCFCFC"/>
        <w:jc w:val="both"/>
        <w:rPr>
          <w:rFonts w:eastAsia="Times New Roman" w:cs="Times New Roman"/>
          <w:color w:val="000000"/>
          <w:spacing w:val="3"/>
          <w:szCs w:val="20"/>
          <w:lang w:eastAsia="es-ES"/>
        </w:rPr>
      </w:pPr>
      <w:hyperlink r:id="rId9" w:anchor="_ftnref2" w:history="1">
        <w:r w:rsidRPr="003C21FD">
          <w:rPr>
            <w:rFonts w:eastAsia="Times New Roman" w:cs="Times New Roman"/>
            <w:color w:val="222222"/>
            <w:spacing w:val="3"/>
            <w:szCs w:val="20"/>
            <w:lang w:eastAsia="es-ES"/>
          </w:rPr>
          <w:t>[2]</w:t>
        </w:r>
      </w:hyperlink>
      <w:r w:rsidRPr="003C21FD">
        <w:rPr>
          <w:rFonts w:eastAsia="Times New Roman" w:cs="Times New Roman"/>
          <w:color w:val="000000"/>
          <w:spacing w:val="3"/>
          <w:szCs w:val="20"/>
          <w:lang w:eastAsia="es-ES"/>
        </w:rPr>
        <w:t> Se requiere para la efectiva existencia de </w:t>
      </w:r>
      <w:r w:rsidRPr="003C21FD">
        <w:rPr>
          <w:rFonts w:eastAsia="Times New Roman" w:cs="Times New Roman"/>
          <w:i/>
          <w:iCs/>
          <w:color w:val="000000"/>
          <w:spacing w:val="3"/>
          <w:szCs w:val="20"/>
          <w:lang w:eastAsia="es-ES"/>
        </w:rPr>
        <w:t>representación del elector</w:t>
      </w:r>
      <w:r w:rsidRPr="003C21FD">
        <w:rPr>
          <w:rFonts w:eastAsia="Times New Roman" w:cs="Times New Roman"/>
          <w:color w:val="000000"/>
          <w:spacing w:val="3"/>
          <w:szCs w:val="20"/>
          <w:lang w:eastAsia="es-ES"/>
        </w:rPr>
        <w:t> que recupere el “mandato imperativo” además de otras garantías electorales (</w:t>
      </w:r>
      <w:r w:rsidRPr="003C21FD">
        <w:rPr>
          <w:rFonts w:eastAsia="Times New Roman" w:cs="Times New Roman"/>
          <w:i/>
          <w:iCs/>
          <w:color w:val="000000"/>
          <w:spacing w:val="3"/>
          <w:szCs w:val="20"/>
          <w:lang w:eastAsia="es-ES"/>
        </w:rPr>
        <w:t>Mónada Republicana </w:t>
      </w:r>
      <w:r w:rsidRPr="003C21FD">
        <w:rPr>
          <w:rFonts w:eastAsia="Times New Roman" w:cs="Times New Roman"/>
          <w:color w:val="000000"/>
          <w:spacing w:val="3"/>
          <w:szCs w:val="20"/>
          <w:lang w:eastAsia="es-ES"/>
        </w:rPr>
        <w:t>[García-</w:t>
      </w:r>
      <w:proofErr w:type="spellStart"/>
      <w:r w:rsidRPr="003C21FD">
        <w:rPr>
          <w:rFonts w:eastAsia="Times New Roman" w:cs="Times New Roman"/>
          <w:color w:val="000000"/>
          <w:spacing w:val="3"/>
          <w:szCs w:val="20"/>
          <w:lang w:eastAsia="es-ES"/>
        </w:rPr>
        <w:t>Trevijano</w:t>
      </w:r>
      <w:proofErr w:type="spellEnd"/>
      <w:r w:rsidRPr="003C21FD">
        <w:rPr>
          <w:rFonts w:eastAsia="Times New Roman" w:cs="Times New Roman"/>
          <w:color w:val="000000"/>
          <w:spacing w:val="3"/>
          <w:szCs w:val="20"/>
          <w:lang w:eastAsia="es-ES"/>
        </w:rPr>
        <w:t xml:space="preserve">, 2014, Teoría Pura de la República </w:t>
      </w:r>
      <w:proofErr w:type="spellStart"/>
      <w:r w:rsidRPr="003C21FD">
        <w:rPr>
          <w:rFonts w:eastAsia="Times New Roman" w:cs="Times New Roman"/>
          <w:color w:val="000000"/>
          <w:spacing w:val="3"/>
          <w:szCs w:val="20"/>
          <w:lang w:eastAsia="es-ES"/>
        </w:rPr>
        <w:t>Constituciona</w:t>
      </w:r>
      <w:proofErr w:type="spellEnd"/>
      <w:r w:rsidRPr="003C21FD">
        <w:rPr>
          <w:rFonts w:eastAsia="Times New Roman" w:cs="Times New Roman"/>
          <w:color w:val="000000"/>
          <w:spacing w:val="3"/>
          <w:szCs w:val="20"/>
          <w:lang w:eastAsia="es-ES"/>
        </w:rPr>
        <w:t>]).</w:t>
      </w:r>
    </w:p>
    <w:p w:rsidR="003C21FD" w:rsidRDefault="003C21FD" w:rsidP="003C21FD">
      <w:pPr>
        <w:shd w:val="clear" w:color="auto" w:fill="FCFCFC"/>
        <w:jc w:val="both"/>
        <w:rPr>
          <w:rFonts w:eastAsia="Times New Roman" w:cs="Times New Roman"/>
          <w:color w:val="000000"/>
          <w:spacing w:val="3"/>
          <w:szCs w:val="20"/>
          <w:lang w:eastAsia="es-ES"/>
        </w:rPr>
      </w:pPr>
      <w:hyperlink r:id="rId10" w:anchor="_ftnref3" w:history="1">
        <w:r w:rsidRPr="003C21FD">
          <w:rPr>
            <w:rFonts w:eastAsia="Times New Roman" w:cs="Times New Roman"/>
            <w:color w:val="222222"/>
            <w:spacing w:val="3"/>
            <w:szCs w:val="20"/>
            <w:lang w:eastAsia="es-ES"/>
          </w:rPr>
          <w:t>[3]</w:t>
        </w:r>
      </w:hyperlink>
      <w:r w:rsidRPr="003C21FD">
        <w:rPr>
          <w:rFonts w:eastAsia="Times New Roman" w:cs="Times New Roman"/>
          <w:color w:val="000000"/>
          <w:spacing w:val="3"/>
          <w:szCs w:val="20"/>
          <w:lang w:eastAsia="es-ES"/>
        </w:rPr>
        <w:t> Por ser el más alto valor al que puede y debe aspirar una sociedad civilizada, se estima que la Constitución no deberá ser sino la garantía institucional de la </w:t>
      </w:r>
      <w:r w:rsidRPr="003C21FD">
        <w:rPr>
          <w:rFonts w:eastAsia="Times New Roman" w:cs="Times New Roman"/>
          <w:i/>
          <w:iCs/>
          <w:color w:val="000000"/>
          <w:spacing w:val="3"/>
          <w:szCs w:val="20"/>
          <w:lang w:eastAsia="es-ES"/>
        </w:rPr>
        <w:t>libertad política colectiva</w:t>
      </w:r>
      <w:r w:rsidRPr="003C21FD">
        <w:rPr>
          <w:rFonts w:eastAsia="Times New Roman" w:cs="Times New Roman"/>
          <w:color w:val="000000"/>
          <w:spacing w:val="3"/>
          <w:szCs w:val="20"/>
          <w:lang w:eastAsia="es-ES"/>
        </w:rPr>
        <w:t>.</w:t>
      </w:r>
    </w:p>
    <w:p w:rsidR="003C21FD" w:rsidRPr="003C21FD" w:rsidRDefault="003C21FD" w:rsidP="003C21FD">
      <w:pPr>
        <w:shd w:val="clear" w:color="auto" w:fill="FCFCFC"/>
        <w:jc w:val="both"/>
        <w:rPr>
          <w:rFonts w:eastAsia="Times New Roman" w:cs="Times New Roman"/>
          <w:color w:val="000000"/>
          <w:spacing w:val="3"/>
          <w:szCs w:val="20"/>
          <w:lang w:eastAsia="es-ES"/>
        </w:rPr>
      </w:pPr>
    </w:p>
    <w:p w:rsidR="003C21FD" w:rsidRPr="003C21FD" w:rsidRDefault="003C21FD" w:rsidP="003C21FD">
      <w:pPr>
        <w:shd w:val="clear" w:color="auto" w:fill="FCFCFC"/>
        <w:rPr>
          <w:rFonts w:eastAsia="Times New Roman" w:cs="Times New Roman"/>
          <w:i/>
          <w:color w:val="000000"/>
          <w:spacing w:val="10"/>
          <w:szCs w:val="20"/>
          <w:lang w:eastAsia="es-ES"/>
        </w:rPr>
      </w:pPr>
      <w:r w:rsidRPr="003C21FD">
        <w:rPr>
          <w:rFonts w:eastAsia="Times New Roman" w:cs="Times New Roman"/>
          <w:i/>
          <w:color w:val="000000"/>
          <w:spacing w:val="10"/>
          <w:szCs w:val="20"/>
          <w:lang w:eastAsia="es-ES"/>
        </w:rPr>
        <w:t>“Somos servidores de la ley, a fin de poder ser libres.”</w:t>
      </w:r>
    </w:p>
    <w:p w:rsidR="003C21FD" w:rsidRPr="003C21FD" w:rsidRDefault="003C21FD" w:rsidP="003C21FD">
      <w:pPr>
        <w:shd w:val="clear" w:color="auto" w:fill="FCFCFC"/>
        <w:rPr>
          <w:rFonts w:eastAsia="Times New Roman" w:cs="Times New Roman"/>
          <w:color w:val="000000"/>
          <w:spacing w:val="10"/>
          <w:szCs w:val="20"/>
          <w:lang w:eastAsia="es-ES"/>
        </w:rPr>
      </w:pPr>
      <w:r w:rsidRPr="003C21FD">
        <w:rPr>
          <w:rFonts w:eastAsia="Times New Roman" w:cs="Times New Roman"/>
          <w:color w:val="000000"/>
          <w:spacing w:val="10"/>
          <w:szCs w:val="20"/>
          <w:lang w:eastAsia="es-ES"/>
        </w:rPr>
        <w:t>— CICERÓN, MARCO TULIO. EN DEFENSA DE AULO CLUENCIO.</w:t>
      </w:r>
    </w:p>
    <w:p w:rsidR="004D67CE" w:rsidRPr="003C21FD" w:rsidRDefault="004D67CE" w:rsidP="003C21FD">
      <w:pPr>
        <w:rPr>
          <w:szCs w:val="20"/>
        </w:rPr>
      </w:pPr>
    </w:p>
    <w:sectPr w:rsidR="004D67CE" w:rsidRPr="003C21FD"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3C21FD"/>
    <w:rsid w:val="00020EF2"/>
    <w:rsid w:val="000D6510"/>
    <w:rsid w:val="00197A49"/>
    <w:rsid w:val="001B5C1C"/>
    <w:rsid w:val="001D68CE"/>
    <w:rsid w:val="002A3165"/>
    <w:rsid w:val="002B2B48"/>
    <w:rsid w:val="003446C6"/>
    <w:rsid w:val="003816C3"/>
    <w:rsid w:val="003C21FD"/>
    <w:rsid w:val="00400AF7"/>
    <w:rsid w:val="00460FFD"/>
    <w:rsid w:val="004D67CE"/>
    <w:rsid w:val="004F37F8"/>
    <w:rsid w:val="00502E7F"/>
    <w:rsid w:val="005059B6"/>
    <w:rsid w:val="0060682F"/>
    <w:rsid w:val="00707394"/>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paragraph" w:styleId="Ttulo1">
    <w:name w:val="heading 1"/>
    <w:basedOn w:val="Normal"/>
    <w:link w:val="Ttulo1Car"/>
    <w:uiPriority w:val="9"/>
    <w:qFormat/>
    <w:rsid w:val="003C21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21FD"/>
    <w:rPr>
      <w:rFonts w:ascii="Times New Roman" w:eastAsia="Times New Roman" w:hAnsi="Times New Roman" w:cs="Times New Roman"/>
      <w:b/>
      <w:bCs/>
      <w:kern w:val="36"/>
      <w:sz w:val="48"/>
      <w:szCs w:val="48"/>
      <w:lang w:eastAsia="es-ES"/>
    </w:rPr>
  </w:style>
  <w:style w:type="paragraph" w:styleId="NormalWeb">
    <w:name w:val="Normal (Web)"/>
    <w:basedOn w:val="Normal"/>
    <w:uiPriority w:val="99"/>
    <w:semiHidden/>
    <w:unhideWhenUsed/>
    <w:rsid w:val="003C21F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3C21FD"/>
    <w:rPr>
      <w:i/>
      <w:iCs/>
    </w:rPr>
  </w:style>
  <w:style w:type="character" w:styleId="Hipervnculo">
    <w:name w:val="Hyperlink"/>
    <w:basedOn w:val="Fuentedeprrafopredeter"/>
    <w:uiPriority w:val="99"/>
    <w:semiHidden/>
    <w:unhideWhenUsed/>
    <w:rsid w:val="003C21FD"/>
    <w:rPr>
      <w:color w:val="0000FF"/>
      <w:u w:val="single"/>
    </w:rPr>
  </w:style>
  <w:style w:type="character" w:styleId="Textoennegrita">
    <w:name w:val="Strong"/>
    <w:basedOn w:val="Fuentedeprrafopredeter"/>
    <w:uiPriority w:val="22"/>
    <w:qFormat/>
    <w:rsid w:val="003C21FD"/>
    <w:rPr>
      <w:b/>
      <w:bCs/>
    </w:rPr>
  </w:style>
</w:styles>
</file>

<file path=word/webSettings.xml><?xml version="1.0" encoding="utf-8"?>
<w:webSettings xmlns:r="http://schemas.openxmlformats.org/officeDocument/2006/relationships" xmlns:w="http://schemas.openxmlformats.org/wordprocessingml/2006/main">
  <w:divs>
    <w:div w:id="1471553339">
      <w:bodyDiv w:val="1"/>
      <w:marLeft w:val="0"/>
      <w:marRight w:val="0"/>
      <w:marTop w:val="0"/>
      <w:marBottom w:val="0"/>
      <w:divBdr>
        <w:top w:val="none" w:sz="0" w:space="0" w:color="auto"/>
        <w:left w:val="none" w:sz="0" w:space="0" w:color="auto"/>
        <w:bottom w:val="none" w:sz="0" w:space="0" w:color="auto"/>
        <w:right w:val="none" w:sz="0" w:space="0" w:color="auto"/>
      </w:divBdr>
      <w:divsChild>
        <w:div w:id="702900010">
          <w:marLeft w:val="0"/>
          <w:marRight w:val="0"/>
          <w:marTop w:val="0"/>
          <w:marBottom w:val="600"/>
          <w:divBdr>
            <w:top w:val="none" w:sz="0" w:space="0" w:color="auto"/>
            <w:left w:val="none" w:sz="0" w:space="0" w:color="auto"/>
            <w:bottom w:val="none" w:sz="0" w:space="0" w:color="auto"/>
            <w:right w:val="none" w:sz="0" w:space="0" w:color="auto"/>
          </w:divBdr>
          <w:divsChild>
            <w:div w:id="894973847">
              <w:marLeft w:val="-255"/>
              <w:marRight w:val="-255"/>
              <w:marTop w:val="0"/>
              <w:marBottom w:val="0"/>
              <w:divBdr>
                <w:top w:val="none" w:sz="0" w:space="0" w:color="auto"/>
                <w:left w:val="none" w:sz="0" w:space="0" w:color="auto"/>
                <w:bottom w:val="none" w:sz="0" w:space="0" w:color="auto"/>
                <w:right w:val="none" w:sz="0" w:space="0" w:color="auto"/>
              </w:divBdr>
              <w:divsChild>
                <w:div w:id="2101558221">
                  <w:marLeft w:val="0"/>
                  <w:marRight w:val="0"/>
                  <w:marTop w:val="0"/>
                  <w:marBottom w:val="0"/>
                  <w:divBdr>
                    <w:top w:val="none" w:sz="0" w:space="0" w:color="auto"/>
                    <w:left w:val="none" w:sz="0" w:space="0" w:color="auto"/>
                    <w:bottom w:val="none" w:sz="0" w:space="0" w:color="auto"/>
                    <w:right w:val="none" w:sz="0" w:space="0" w:color="auto"/>
                  </w:divBdr>
                  <w:divsChild>
                    <w:div w:id="1244875292">
                      <w:marLeft w:val="0"/>
                      <w:marRight w:val="0"/>
                      <w:marTop w:val="0"/>
                      <w:marBottom w:val="0"/>
                      <w:divBdr>
                        <w:top w:val="none" w:sz="0" w:space="0" w:color="auto"/>
                        <w:left w:val="none" w:sz="0" w:space="0" w:color="auto"/>
                        <w:bottom w:val="none" w:sz="0" w:space="0" w:color="auto"/>
                        <w:right w:val="none" w:sz="0" w:space="0" w:color="auto"/>
                      </w:divBdr>
                      <w:divsChild>
                        <w:div w:id="674649102">
                          <w:marLeft w:val="0"/>
                          <w:marRight w:val="0"/>
                          <w:marTop w:val="0"/>
                          <w:marBottom w:val="0"/>
                          <w:divBdr>
                            <w:top w:val="none" w:sz="0" w:space="0" w:color="auto"/>
                            <w:left w:val="none" w:sz="0" w:space="0" w:color="auto"/>
                            <w:bottom w:val="none" w:sz="0" w:space="0" w:color="auto"/>
                            <w:right w:val="none" w:sz="0" w:space="0" w:color="auto"/>
                          </w:divBdr>
                        </w:div>
                      </w:divsChild>
                    </w:div>
                    <w:div w:id="56901091">
                      <w:marLeft w:val="0"/>
                      <w:marRight w:val="0"/>
                      <w:marTop w:val="0"/>
                      <w:marBottom w:val="0"/>
                      <w:divBdr>
                        <w:top w:val="none" w:sz="0" w:space="0" w:color="auto"/>
                        <w:left w:val="none" w:sz="0" w:space="0" w:color="auto"/>
                        <w:bottom w:val="none" w:sz="0" w:space="0" w:color="auto"/>
                        <w:right w:val="none" w:sz="0" w:space="0" w:color="auto"/>
                      </w:divBdr>
                      <w:divsChild>
                        <w:div w:id="735593020">
                          <w:marLeft w:val="0"/>
                          <w:marRight w:val="0"/>
                          <w:marTop w:val="0"/>
                          <w:marBottom w:val="0"/>
                          <w:divBdr>
                            <w:top w:val="none" w:sz="0" w:space="0" w:color="auto"/>
                            <w:left w:val="none" w:sz="0" w:space="0" w:color="auto"/>
                            <w:bottom w:val="none" w:sz="0" w:space="0" w:color="auto"/>
                            <w:right w:val="none" w:sz="0" w:space="0" w:color="auto"/>
                          </w:divBdr>
                        </w:div>
                      </w:divsChild>
                    </w:div>
                    <w:div w:id="1791584615">
                      <w:marLeft w:val="0"/>
                      <w:marRight w:val="0"/>
                      <w:marTop w:val="0"/>
                      <w:marBottom w:val="0"/>
                      <w:divBdr>
                        <w:top w:val="none" w:sz="0" w:space="0" w:color="auto"/>
                        <w:left w:val="none" w:sz="0" w:space="0" w:color="auto"/>
                        <w:bottom w:val="none" w:sz="0" w:space="0" w:color="auto"/>
                        <w:right w:val="none" w:sz="0" w:space="0" w:color="auto"/>
                      </w:divBdr>
                      <w:divsChild>
                        <w:div w:id="1411931238">
                          <w:marLeft w:val="0"/>
                          <w:marRight w:val="0"/>
                          <w:marTop w:val="0"/>
                          <w:marBottom w:val="0"/>
                          <w:divBdr>
                            <w:top w:val="none" w:sz="0" w:space="0" w:color="auto"/>
                            <w:left w:val="none" w:sz="0" w:space="0" w:color="auto"/>
                            <w:bottom w:val="none" w:sz="0" w:space="0" w:color="auto"/>
                            <w:right w:val="none" w:sz="0" w:space="0" w:color="auto"/>
                          </w:divBdr>
                        </w:div>
                      </w:divsChild>
                    </w:div>
                    <w:div w:id="1983390409">
                      <w:marLeft w:val="0"/>
                      <w:marRight w:val="0"/>
                      <w:marTop w:val="0"/>
                      <w:marBottom w:val="0"/>
                      <w:divBdr>
                        <w:top w:val="none" w:sz="0" w:space="0" w:color="auto"/>
                        <w:left w:val="none" w:sz="0" w:space="0" w:color="auto"/>
                        <w:bottom w:val="none" w:sz="0" w:space="0" w:color="auto"/>
                        <w:right w:val="none" w:sz="0" w:space="0" w:color="auto"/>
                      </w:divBdr>
                      <w:divsChild>
                        <w:div w:id="8931518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lcritico.org/zona-kratica/2018/5/19/una-constitucin-como-proceso?rq=TREVIJANO" TargetMode="External"/><Relationship Id="rId3" Type="http://schemas.openxmlformats.org/officeDocument/2006/relationships/webSettings" Target="webSettings.xml"/><Relationship Id="rId7" Type="http://schemas.openxmlformats.org/officeDocument/2006/relationships/hyperlink" Target="https://www.elcritico.org/zona-kratica/2018/5/19/una-constitucin-como-proceso?rq=TREVIJANO"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lcritico.org/zona-kratica/2018/5/19/una-constitucin-como-proceso?rq=TREVIJANO" TargetMode="External"/><Relationship Id="rId11" Type="http://schemas.openxmlformats.org/officeDocument/2006/relationships/fontTable" Target="fontTable.xml"/><Relationship Id="rId5" Type="http://schemas.openxmlformats.org/officeDocument/2006/relationships/hyperlink" Target="https://www.elcritico.org/zona-kratica/2018/5/19/una-constitucin-como-proceso?rq=TREVIJANO" TargetMode="External"/><Relationship Id="rId10" Type="http://schemas.openxmlformats.org/officeDocument/2006/relationships/hyperlink" Target="https://www.elcritico.org/zona-kratica/2018/5/19/una-constitucin-como-proceso?rq=TREVIJANO" TargetMode="External"/><Relationship Id="rId4" Type="http://schemas.openxmlformats.org/officeDocument/2006/relationships/hyperlink" Target="https://www.elcritico.org/zona-kratica/2018/5/19/una-constitucin-como-proceso?rq=TREVIJANO" TargetMode="External"/><Relationship Id="rId9" Type="http://schemas.openxmlformats.org/officeDocument/2006/relationships/hyperlink" Target="https://www.elcritico.org/zona-kratica/2018/5/19/una-constitucin-como-proceso?rq=TREVIJAN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1071</Words>
  <Characters>5891</Characters>
  <Application>Microsoft Office Word</Application>
  <DocSecurity>0</DocSecurity>
  <Lines>49</Lines>
  <Paragraphs>13</Paragraphs>
  <ScaleCrop>false</ScaleCrop>
  <Company/>
  <LinksUpToDate>false</LinksUpToDate>
  <CharactersWithSpaces>6949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2019-04-17T16:46:00Z</dcterms:created>
  <dcterms:modified xsi:type="dcterms:W3CDTF">2019-04-17T16:50:00Z</dcterms:modified>
</cp:coreProperties>
</file>